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Default="009E485F" w:rsidP="006C284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6C284C">
              <w:rPr>
                <w:b/>
                <w:u w:val="single"/>
                <w:lang w:eastAsia="en-US"/>
              </w:rPr>
              <w:t>27</w:t>
            </w:r>
            <w:r>
              <w:rPr>
                <w:b/>
                <w:u w:val="single"/>
                <w:lang w:eastAsia="en-US"/>
              </w:rPr>
              <w:t>__» _</w:t>
            </w:r>
            <w:r w:rsidR="006109EB">
              <w:rPr>
                <w:b/>
                <w:u w:val="single"/>
                <w:lang w:eastAsia="en-US"/>
              </w:rPr>
              <w:t>1</w:t>
            </w:r>
            <w:r w:rsidR="006C284C">
              <w:rPr>
                <w:b/>
                <w:u w:val="single"/>
                <w:lang w:eastAsia="en-US"/>
              </w:rPr>
              <w:t>2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A22DCE">
              <w:rPr>
                <w:b/>
                <w:lang w:eastAsia="en-US"/>
              </w:rPr>
              <w:t>2017</w:t>
            </w:r>
          </w:p>
        </w:tc>
      </w:tr>
    </w:tbl>
    <w:p w:rsidR="009E485F" w:rsidRPr="001A659A" w:rsidRDefault="009E485F" w:rsidP="009E485F">
      <w:pPr>
        <w:ind w:firstLine="708"/>
        <w:jc w:val="both"/>
        <w:rPr>
          <w:b/>
        </w:rPr>
      </w:pPr>
      <w:proofErr w:type="gramStart"/>
      <w:r>
        <w:t xml:space="preserve">На основании </w:t>
      </w:r>
      <w:r w:rsidR="006C284C">
        <w:t>р</w:t>
      </w:r>
      <w:r>
        <w:t>ешени</w:t>
      </w:r>
      <w:r w:rsidR="00417F37">
        <w:t>я</w:t>
      </w:r>
      <w:r>
        <w:t xml:space="preserve"> Десногорского городского Совета муниципального образования «город Десногор</w:t>
      </w:r>
      <w:r w:rsidR="00417F37">
        <w:t>ск» Смоленской области от 12.12.2016</w:t>
      </w:r>
      <w:r>
        <w:t xml:space="preserve"> №</w:t>
      </w:r>
      <w:r w:rsidR="0021246E">
        <w:t xml:space="preserve"> </w:t>
      </w:r>
      <w:r w:rsidR="00417F37">
        <w:t xml:space="preserve">267 (ред. </w:t>
      </w:r>
      <w:r w:rsidR="00DE1815">
        <w:t>08</w:t>
      </w:r>
      <w:r w:rsidR="00417F37">
        <w:t>.0</w:t>
      </w:r>
      <w:r w:rsidR="00DE1815">
        <w:t>8</w:t>
      </w:r>
      <w:r w:rsidR="00417F37">
        <w:t>.2017 №3</w:t>
      </w:r>
      <w:r w:rsidR="00DE1815">
        <w:t>41</w:t>
      </w:r>
      <w:r w:rsidR="00417F37">
        <w:t xml:space="preserve">)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DE1815">
        <w:rPr>
          <w:b/>
        </w:rPr>
        <w:t>26.01</w:t>
      </w:r>
      <w:r w:rsidR="006109EB">
        <w:rPr>
          <w:b/>
        </w:rPr>
        <w:t>.</w:t>
      </w:r>
      <w:r w:rsidR="00A22DCE">
        <w:rPr>
          <w:b/>
        </w:rPr>
        <w:t>201</w:t>
      </w:r>
      <w:r w:rsidR="00DE1815">
        <w:rPr>
          <w:b/>
        </w:rPr>
        <w:t>8</w:t>
      </w:r>
      <w:r>
        <w:rPr>
          <w:b/>
        </w:rPr>
        <w:t xml:space="preserve"> в 11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 лица</w:t>
      </w:r>
      <w:r w:rsidR="00A22DCE" w:rsidRPr="001A659A">
        <w:rPr>
          <w:b/>
        </w:rPr>
        <w:t>м объектов движимого имущества</w:t>
      </w:r>
      <w:r w:rsidRPr="001A659A">
        <w:rPr>
          <w:b/>
        </w:rPr>
        <w:t>:</w:t>
      </w:r>
      <w:proofErr w:type="gramEnd"/>
    </w:p>
    <w:p w:rsidR="00E21C67" w:rsidRPr="0021246E" w:rsidRDefault="00E21C67" w:rsidP="00E21C67">
      <w:pPr>
        <w:pStyle w:val="a9"/>
        <w:spacing w:after="0"/>
        <w:ind w:firstLine="709"/>
        <w:jc w:val="both"/>
        <w:rPr>
          <w:lang w:val="ru-RU"/>
        </w:rPr>
      </w:pPr>
      <w:r w:rsidRPr="00E21C67">
        <w:rPr>
          <w:b/>
        </w:rPr>
        <w:t>1.Организатор аукциона</w:t>
      </w:r>
      <w:r w:rsidRPr="00E21C67">
        <w:t xml:space="preserve"> - </w:t>
      </w:r>
      <w:r w:rsidRPr="00E21C67">
        <w:rPr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E21C67">
        <w:t>, 216400, Смоленская область, г. Десногорск, 2мкр., здание Администрации</w:t>
      </w:r>
      <w:r w:rsidR="0021246E">
        <w:rPr>
          <w:lang w:val="ru-RU"/>
        </w:rPr>
        <w:t>.</w:t>
      </w:r>
      <w:bookmarkStart w:id="0" w:name="_GoBack"/>
      <w:bookmarkEnd w:id="0"/>
    </w:p>
    <w:p w:rsidR="00E21C67" w:rsidRDefault="00E21C67" w:rsidP="00E21C67">
      <w:pPr>
        <w:pStyle w:val="a9"/>
        <w:spacing w:after="0"/>
        <w:ind w:firstLine="709"/>
        <w:jc w:val="both"/>
      </w:pPr>
      <w:r>
        <w:rPr>
          <w:b/>
          <w:lang w:val="ru-RU"/>
        </w:rPr>
        <w:t xml:space="preserve">2. </w:t>
      </w:r>
      <w:r>
        <w:rPr>
          <w:b/>
        </w:rPr>
        <w:t>Предмет аукциона</w:t>
      </w:r>
      <w:r>
        <w:t xml:space="preserve">: право заключения </w:t>
      </w:r>
      <w:r>
        <w:rPr>
          <w:lang w:val="ru-RU"/>
        </w:rPr>
        <w:t>договора купли- 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E21C67" w:rsidRDefault="00E21C67" w:rsidP="00E21C67">
      <w:pPr>
        <w:ind w:firstLine="709"/>
        <w:jc w:val="both"/>
        <w:rPr>
          <w:b/>
        </w:rPr>
      </w:pPr>
      <w:r>
        <w:rPr>
          <w:b/>
        </w:rPr>
        <w:t xml:space="preserve">3. Объект аукциона: </w:t>
      </w:r>
    </w:p>
    <w:p w:rsidR="00417F37" w:rsidRPr="00417F37" w:rsidRDefault="009E485F" w:rsidP="00124498">
      <w:pPr>
        <w:ind w:firstLine="709"/>
        <w:jc w:val="both"/>
      </w:pPr>
      <w:r w:rsidRPr="00124498">
        <w:rPr>
          <w:b/>
        </w:rPr>
        <w:t xml:space="preserve">- </w:t>
      </w:r>
      <w:r w:rsidR="000200F0">
        <w:t xml:space="preserve">Моторная лодка «Прогресс – 4», год выпуска 1975, заводской номер В-12563, дата ввода в эксплуатацию 26.07.1977, </w:t>
      </w:r>
      <w:proofErr w:type="spellStart"/>
      <w:r w:rsidR="000200F0">
        <w:t>пассажировместимость</w:t>
      </w:r>
      <w:proofErr w:type="spellEnd"/>
      <w:r w:rsidR="000200F0">
        <w:t xml:space="preserve"> 4 человека. Корпус лодки окрашен масляной </w:t>
      </w:r>
      <w:r w:rsidR="006106DD">
        <w:t xml:space="preserve">краской, в нерабочем состоянии, укомплектован. Нижняя часть (дно) катера деформирована в 2-х местах, имеется разрыв днища, </w:t>
      </w:r>
      <w:proofErr w:type="gramStart"/>
      <w:r w:rsidR="006106DD">
        <w:t>длинной</w:t>
      </w:r>
      <w:proofErr w:type="gramEnd"/>
      <w:r w:rsidR="006106DD">
        <w:t xml:space="preserve"> около 150-200 мм., рулевое управление отсутствует, стекла ветровые разбиты, сиденья отсутствуют</w:t>
      </w:r>
      <w:r w:rsidR="000200F0">
        <w:t xml:space="preserve">  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Начальная цена продажи: </w:t>
      </w:r>
      <w:r w:rsidR="006106DD">
        <w:rPr>
          <w:b/>
          <w:bCs/>
          <w:color w:val="000000"/>
        </w:rPr>
        <w:t>17 820</w:t>
      </w:r>
      <w:r w:rsidRPr="00124498">
        <w:rPr>
          <w:color w:val="000000"/>
        </w:rPr>
        <w:t> (</w:t>
      </w:r>
      <w:r w:rsidR="006106DD">
        <w:rPr>
          <w:color w:val="000000"/>
        </w:rPr>
        <w:t>семнадцать</w:t>
      </w:r>
      <w:r w:rsidR="006C284C">
        <w:rPr>
          <w:color w:val="000000"/>
        </w:rPr>
        <w:t xml:space="preserve"> тысяч</w:t>
      </w:r>
      <w:r w:rsidR="006106DD">
        <w:rPr>
          <w:color w:val="000000"/>
        </w:rPr>
        <w:t xml:space="preserve"> восемьсот двадцать</w:t>
      </w:r>
      <w:r w:rsidRPr="00124498">
        <w:rPr>
          <w:color w:val="000000"/>
        </w:rPr>
        <w:t xml:space="preserve"> рублей </w:t>
      </w:r>
      <w:r w:rsidR="00124498">
        <w:rPr>
          <w:color w:val="000000"/>
        </w:rPr>
        <w:t>00 к</w:t>
      </w:r>
      <w:r w:rsidRPr="00124498">
        <w:rPr>
          <w:color w:val="000000"/>
        </w:rPr>
        <w:t>опеек) с учетом НДС.</w:t>
      </w:r>
    </w:p>
    <w:p w:rsidR="00E21C67" w:rsidRPr="00124498" w:rsidRDefault="00E21C67" w:rsidP="0072305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498">
        <w:rPr>
          <w:color w:val="000000"/>
        </w:rPr>
        <w:t>Величина повышения начальной цены («шаг аукциона») – 5%: </w:t>
      </w:r>
      <w:r w:rsidR="006106DD">
        <w:rPr>
          <w:b/>
          <w:bCs/>
          <w:color w:val="000000"/>
        </w:rPr>
        <w:t>891</w:t>
      </w:r>
      <w:r w:rsidRPr="00124498">
        <w:rPr>
          <w:color w:val="000000"/>
        </w:rPr>
        <w:t> (</w:t>
      </w:r>
      <w:r w:rsidR="006106DD">
        <w:rPr>
          <w:color w:val="000000"/>
        </w:rPr>
        <w:t>Восемьсот девяносто один</w:t>
      </w:r>
      <w:r w:rsidR="0072305B">
        <w:rPr>
          <w:color w:val="000000"/>
        </w:rPr>
        <w:t xml:space="preserve"> рубл</w:t>
      </w:r>
      <w:r w:rsidR="006106DD">
        <w:rPr>
          <w:color w:val="000000"/>
        </w:rPr>
        <w:t>ь</w:t>
      </w:r>
      <w:r w:rsidRPr="00124498">
        <w:rPr>
          <w:color w:val="000000"/>
        </w:rPr>
        <w:t xml:space="preserve"> 00 коп.).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Размер задатка – 20%: </w:t>
      </w:r>
      <w:r w:rsidR="00147959">
        <w:rPr>
          <w:b/>
          <w:bCs/>
          <w:color w:val="000000"/>
        </w:rPr>
        <w:t>3564</w:t>
      </w:r>
      <w:r w:rsidRPr="00124498">
        <w:rPr>
          <w:b/>
          <w:bCs/>
          <w:color w:val="000000"/>
        </w:rPr>
        <w:t> </w:t>
      </w:r>
      <w:r w:rsidRPr="00124498">
        <w:rPr>
          <w:color w:val="000000"/>
        </w:rPr>
        <w:t>(</w:t>
      </w:r>
      <w:r w:rsidR="00147959">
        <w:rPr>
          <w:color w:val="000000"/>
        </w:rPr>
        <w:t>Три тысячи пятьсот шестьдесят четыре</w:t>
      </w:r>
      <w:r w:rsidRPr="00124498">
        <w:rPr>
          <w:color w:val="000000"/>
        </w:rPr>
        <w:t xml:space="preserve"> рубл</w:t>
      </w:r>
      <w:r w:rsidR="00147959">
        <w:rPr>
          <w:color w:val="000000"/>
        </w:rPr>
        <w:t>я</w:t>
      </w:r>
      <w:r w:rsidRPr="00124498">
        <w:rPr>
          <w:color w:val="000000"/>
        </w:rPr>
        <w:t xml:space="preserve"> </w:t>
      </w:r>
      <w:r w:rsidR="00147959">
        <w:rPr>
          <w:color w:val="000000"/>
        </w:rPr>
        <w:t>0</w:t>
      </w:r>
      <w:r w:rsidR="0072305B">
        <w:rPr>
          <w:color w:val="000000"/>
        </w:rPr>
        <w:t>0</w:t>
      </w:r>
      <w:r w:rsidRPr="00124498">
        <w:rPr>
          <w:color w:val="000000"/>
        </w:rPr>
        <w:t xml:space="preserve"> копеек).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 xml:space="preserve">и: </w:t>
      </w:r>
      <w:proofErr w:type="spellStart"/>
      <w:r>
        <w:t>КИиЗО</w:t>
      </w:r>
      <w:proofErr w:type="spellEnd"/>
      <w:r>
        <w:t xml:space="preserve">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spellStart"/>
      <w:proofErr w:type="gramEnd"/>
      <w:r>
        <w:t>КИиЗО</w:t>
      </w:r>
      <w:proofErr w:type="spellEnd"/>
      <w:r>
        <w:t xml:space="preserve">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со </w:t>
      </w:r>
      <w:hyperlink r:id="rId6" w:history="1">
        <w:r>
          <w:rPr>
            <w:rStyle w:val="a7"/>
            <w:rFonts w:eastAsiaTheme="minorHAnsi"/>
            <w:b/>
            <w:lang w:eastAsia="en-US"/>
          </w:rPr>
          <w:t>статьей 437</w:t>
        </w:r>
      </w:hyperlink>
      <w:r>
        <w:rPr>
          <w:rFonts w:eastAsiaTheme="minorHAnsi"/>
          <w:b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lastRenderedPageBreak/>
        <w:t xml:space="preserve">Заявки на участие в аукционе принимаются ежедневно по рабочим дням с </w:t>
      </w:r>
      <w:r w:rsidR="00A22DCE">
        <w:rPr>
          <w:b/>
        </w:rPr>
        <w:t>8</w:t>
      </w:r>
      <w:r>
        <w:rPr>
          <w:b/>
        </w:rPr>
        <w:t xml:space="preserve">.00 часов до </w:t>
      </w:r>
      <w:r w:rsidR="00A22DCE">
        <w:rPr>
          <w:b/>
        </w:rPr>
        <w:t>17</w:t>
      </w:r>
      <w:r>
        <w:rPr>
          <w:b/>
        </w:rPr>
        <w:t>.</w:t>
      </w:r>
      <w:r w:rsidR="00A22DCE">
        <w:rPr>
          <w:b/>
        </w:rPr>
        <w:t>15</w:t>
      </w:r>
      <w:r>
        <w:rPr>
          <w:b/>
        </w:rPr>
        <w:t xml:space="preserve"> часов по московскому времени (перерыв на обед с 12.00 до 13.00) с </w:t>
      </w:r>
      <w:r w:rsidR="00147959">
        <w:rPr>
          <w:b/>
        </w:rPr>
        <w:t>28.12</w:t>
      </w:r>
      <w:r w:rsidR="004B600A">
        <w:rPr>
          <w:b/>
        </w:rPr>
        <w:t>.</w:t>
      </w:r>
      <w:r w:rsidR="00A22DCE">
        <w:rPr>
          <w:b/>
        </w:rPr>
        <w:t>2017</w:t>
      </w:r>
      <w:r>
        <w:rPr>
          <w:b/>
        </w:rPr>
        <w:t xml:space="preserve"> по </w:t>
      </w:r>
      <w:r w:rsidR="00147959">
        <w:rPr>
          <w:b/>
        </w:rPr>
        <w:t>22.01.2018</w:t>
      </w:r>
      <w:r w:rsidR="00A22DCE">
        <w:rPr>
          <w:b/>
        </w:rPr>
        <w:t xml:space="preserve"> </w:t>
      </w:r>
      <w:r>
        <w:rPr>
          <w:b/>
        </w:rPr>
        <w:t>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здание администрации,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147959">
        <w:rPr>
          <w:b/>
        </w:rPr>
        <w:t>28.12.2017</w:t>
      </w:r>
      <w:r>
        <w:rPr>
          <w:b/>
        </w:rPr>
        <w:t xml:space="preserve"> по </w:t>
      </w:r>
      <w:r w:rsidR="00147959">
        <w:rPr>
          <w:b/>
        </w:rPr>
        <w:t>19.01.2018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lastRenderedPageBreak/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147959">
        <w:rPr>
          <w:b/>
        </w:rPr>
        <w:t>24.01.2018</w:t>
      </w:r>
      <w:r w:rsidR="009E485F">
        <w:t>. по адресу: Смоленская область, г.Десногорск, 2 мкр-н, здание администрации, каб.219 в 11.00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Theme="minorHAnsi"/>
          <w:lang w:eastAsia="en-US"/>
        </w:rPr>
        <w:t>с даты оформления</w:t>
      </w:r>
      <w:proofErr w:type="gramEnd"/>
      <w:r>
        <w:rPr>
          <w:rFonts w:eastAsiaTheme="minorHAnsi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аукцион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цена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682EE8">
        <w:rPr>
          <w:rFonts w:eastAsiaTheme="minorHAnsi"/>
          <w:lang w:eastAsia="en-US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 </w:t>
      </w:r>
      <w:proofErr w:type="gramStart"/>
      <w:r w:rsidR="00EB1796">
        <w:t>с даты 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ии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E485F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>., здание администрации. Тел. 7-23-08, Факс 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proofErr w:type="gramStart"/>
      <w:r>
        <w:t xml:space="preserve"> </w:t>
      </w:r>
      <w:r w:rsidR="00043301">
        <w:t>:</w:t>
      </w:r>
      <w:proofErr w:type="gramEnd"/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7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43301" w:rsidRPr="0072305B" w:rsidRDefault="00043301" w:rsidP="009E485F">
      <w:pPr>
        <w:ind w:firstLine="720"/>
        <w:jc w:val="both"/>
      </w:pPr>
    </w:p>
    <w:p w:rsidR="00043301" w:rsidRPr="0072305B" w:rsidRDefault="0072305B" w:rsidP="00043301">
      <w:pPr>
        <w:jc w:val="both"/>
        <w:rPr>
          <w:b/>
        </w:rPr>
      </w:pPr>
      <w:r w:rsidRPr="0072305B">
        <w:t xml:space="preserve">Председатель </w:t>
      </w:r>
      <w:r w:rsidR="00043301" w:rsidRPr="0072305B">
        <w:t xml:space="preserve"> Комитета                                                            </w:t>
      </w:r>
      <w:r>
        <w:t xml:space="preserve">                  </w:t>
      </w:r>
      <w:r w:rsidR="00043301" w:rsidRPr="0072305B">
        <w:t xml:space="preserve">               </w:t>
      </w:r>
      <w:r>
        <w:rPr>
          <w:b/>
        </w:rPr>
        <w:t>О.В. Романова</w:t>
      </w:r>
    </w:p>
    <w:p w:rsidR="00043301" w:rsidRDefault="00043301" w:rsidP="009E485F">
      <w:pPr>
        <w:ind w:firstLine="720"/>
        <w:jc w:val="both"/>
      </w:pPr>
    </w:p>
    <w:p w:rsidR="009E485F" w:rsidRDefault="00043301" w:rsidP="008918A7">
      <w:pPr>
        <w:ind w:firstLine="720"/>
        <w:jc w:val="both"/>
      </w:pPr>
      <w:r>
        <w:t xml:space="preserve">   </w:t>
      </w:r>
      <w:r w:rsidR="009E485F"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9E485F" w:rsidTr="009E485F">
        <w:tc>
          <w:tcPr>
            <w:tcW w:w="4644" w:type="dxa"/>
            <w:hideMark/>
          </w:tcPr>
          <w:p w:rsidR="009E485F" w:rsidRDefault="00A22D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Главный специалист </w:t>
            </w:r>
            <w:r w:rsidR="009E485F" w:rsidRPr="00043301">
              <w:rPr>
                <w:b/>
                <w:lang w:eastAsia="en-US"/>
              </w:rPr>
              <w:t xml:space="preserve"> юридического отдела</w:t>
            </w:r>
          </w:p>
          <w:p w:rsidR="00A22DCE" w:rsidRPr="00043301" w:rsidRDefault="00A22DC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9E485F" w:rsidRDefault="009E48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A22DCE" w:rsidRDefault="00A22D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485F" w:rsidRDefault="00A22DCE" w:rsidP="00A22D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 Т.Н. Зайцева</w:t>
            </w:r>
          </w:p>
          <w:p w:rsidR="00A22DCE" w:rsidRPr="00A22DCE" w:rsidRDefault="00A22DCE" w:rsidP="00147959">
            <w:pPr>
              <w:tabs>
                <w:tab w:val="left" w:pos="810"/>
              </w:tabs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Pr="00FB506A">
              <w:rPr>
                <w:sz w:val="24"/>
                <w:szCs w:val="24"/>
                <w:u w:val="single"/>
                <w:lang w:eastAsia="en-US"/>
              </w:rPr>
              <w:t>«</w:t>
            </w:r>
            <w:r w:rsidR="00147959">
              <w:rPr>
                <w:sz w:val="24"/>
                <w:szCs w:val="24"/>
                <w:u w:val="single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147959">
              <w:rPr>
                <w:sz w:val="24"/>
                <w:szCs w:val="24"/>
                <w:u w:val="single"/>
                <w:lang w:eastAsia="en-US"/>
              </w:rPr>
              <w:t>________</w:t>
            </w:r>
            <w:r>
              <w:rPr>
                <w:sz w:val="24"/>
                <w:szCs w:val="24"/>
                <w:u w:val="single"/>
                <w:lang w:eastAsia="en-US"/>
              </w:rPr>
              <w:t>2017 года.</w:t>
            </w:r>
          </w:p>
        </w:tc>
      </w:tr>
    </w:tbl>
    <w:p w:rsidR="009E485F" w:rsidRDefault="009E485F" w:rsidP="009E485F">
      <w:pPr>
        <w:ind w:firstLine="720"/>
        <w:jc w:val="both"/>
      </w:pPr>
    </w:p>
    <w:p w:rsidR="00C81803" w:rsidRPr="00294F73" w:rsidRDefault="00C81803" w:rsidP="009E485F">
      <w:pPr>
        <w:jc w:val="center"/>
      </w:pPr>
    </w:p>
    <w:sectPr w:rsidR="00C81803" w:rsidRPr="00294F73" w:rsidSect="008918A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7A"/>
    <w:rsid w:val="000022C8"/>
    <w:rsid w:val="00007391"/>
    <w:rsid w:val="00007937"/>
    <w:rsid w:val="00012626"/>
    <w:rsid w:val="000200F0"/>
    <w:rsid w:val="00025E30"/>
    <w:rsid w:val="00027B2C"/>
    <w:rsid w:val="00042518"/>
    <w:rsid w:val="00043301"/>
    <w:rsid w:val="000838F3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24498"/>
    <w:rsid w:val="0013429F"/>
    <w:rsid w:val="00147959"/>
    <w:rsid w:val="0015159A"/>
    <w:rsid w:val="00180546"/>
    <w:rsid w:val="001852A8"/>
    <w:rsid w:val="00191F20"/>
    <w:rsid w:val="001A659A"/>
    <w:rsid w:val="001A6612"/>
    <w:rsid w:val="001D208B"/>
    <w:rsid w:val="001F4773"/>
    <w:rsid w:val="00203C2F"/>
    <w:rsid w:val="00211846"/>
    <w:rsid w:val="0021246E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25697"/>
    <w:rsid w:val="0036170C"/>
    <w:rsid w:val="003707B5"/>
    <w:rsid w:val="00375CA0"/>
    <w:rsid w:val="003904BF"/>
    <w:rsid w:val="003D48DB"/>
    <w:rsid w:val="003F0A31"/>
    <w:rsid w:val="00405233"/>
    <w:rsid w:val="00411177"/>
    <w:rsid w:val="004128A1"/>
    <w:rsid w:val="00417F37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B600A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7B20"/>
    <w:rsid w:val="0055135B"/>
    <w:rsid w:val="00590C89"/>
    <w:rsid w:val="005A177A"/>
    <w:rsid w:val="005B17A8"/>
    <w:rsid w:val="005C66E9"/>
    <w:rsid w:val="005D3B28"/>
    <w:rsid w:val="005F73EF"/>
    <w:rsid w:val="00603A48"/>
    <w:rsid w:val="006106DD"/>
    <w:rsid w:val="006109EB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C284C"/>
    <w:rsid w:val="006D34A7"/>
    <w:rsid w:val="006F24DC"/>
    <w:rsid w:val="00716BA8"/>
    <w:rsid w:val="0072305B"/>
    <w:rsid w:val="00727554"/>
    <w:rsid w:val="007405B0"/>
    <w:rsid w:val="0075722C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18A7"/>
    <w:rsid w:val="008979D7"/>
    <w:rsid w:val="008B4866"/>
    <w:rsid w:val="008C2286"/>
    <w:rsid w:val="008E69FB"/>
    <w:rsid w:val="00901BB7"/>
    <w:rsid w:val="00922804"/>
    <w:rsid w:val="00930B15"/>
    <w:rsid w:val="0094365A"/>
    <w:rsid w:val="00962CDE"/>
    <w:rsid w:val="00983422"/>
    <w:rsid w:val="009975EB"/>
    <w:rsid w:val="009D2CB6"/>
    <w:rsid w:val="009E485F"/>
    <w:rsid w:val="009F4E6E"/>
    <w:rsid w:val="00A1469C"/>
    <w:rsid w:val="00A14C02"/>
    <w:rsid w:val="00A17540"/>
    <w:rsid w:val="00A21CFC"/>
    <w:rsid w:val="00A22DCE"/>
    <w:rsid w:val="00A30EE1"/>
    <w:rsid w:val="00A33D7D"/>
    <w:rsid w:val="00A4076B"/>
    <w:rsid w:val="00A565C2"/>
    <w:rsid w:val="00A90FB3"/>
    <w:rsid w:val="00A9315D"/>
    <w:rsid w:val="00AB7A24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53A67"/>
    <w:rsid w:val="00D6002E"/>
    <w:rsid w:val="00D919F9"/>
    <w:rsid w:val="00D94255"/>
    <w:rsid w:val="00DE1815"/>
    <w:rsid w:val="00DE6FC7"/>
    <w:rsid w:val="00DF7308"/>
    <w:rsid w:val="00E21C67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F607C"/>
    <w:rsid w:val="00EF7C72"/>
    <w:rsid w:val="00F3761B"/>
    <w:rsid w:val="00F428CA"/>
    <w:rsid w:val="00F461C0"/>
    <w:rsid w:val="00F81BE2"/>
    <w:rsid w:val="00FB506A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21C6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21C6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1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445770C34ED1B54BB5FDCB068880CC764A3723F08461EA72183210B87C9999EDE13B83748EAF33n6y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267C-E71D-428D-B42B-32546450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222-2</cp:lastModifiedBy>
  <cp:revision>75</cp:revision>
  <cp:lastPrinted>2017-12-21T09:55:00Z</cp:lastPrinted>
  <dcterms:created xsi:type="dcterms:W3CDTF">2012-12-05T05:32:00Z</dcterms:created>
  <dcterms:modified xsi:type="dcterms:W3CDTF">2017-12-21T10:52:00Z</dcterms:modified>
</cp:coreProperties>
</file>