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="0" w:after="0"/>
        <w:jc w:val="center"/>
        <w:rPr>
          <w:b w:val="false"/>
          <w:b w:val="false"/>
          <w:bCs w:val="false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u w:val="none"/>
          <w:lang w:val="ru-RU" w:eastAsia="en-US" w:bidi="ar-SA"/>
        </w:rPr>
        <w:t>П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 xml:space="preserve">редложения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u w:val="none"/>
          <w:lang w:val="ru-RU" w:eastAsia="en-US" w:bidi="ar-SA"/>
        </w:rPr>
        <w:t>Смоленской  АЭС</w:t>
      </w:r>
    </w:p>
    <w:p>
      <w:pPr>
        <w:pStyle w:val="Normal"/>
        <w:shd w:val="clear" w:color="auto" w:fill="FFFFFF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к «Актуализированн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u w:val="none"/>
          <w:lang w:val="ru-RU" w:eastAsia="en-US" w:bidi="ar-SA"/>
        </w:rPr>
        <w:t>ой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 xml:space="preserve"> схем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u w:val="none"/>
          <w:lang w:val="ru-RU" w:eastAsia="en-US" w:bidi="ar-SA"/>
        </w:rPr>
        <w:t>е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 xml:space="preserve"> теплоснабжения муниципального образования «город Десногорск» Смоленской области </w:t>
      </w:r>
    </w:p>
    <w:p>
      <w:pPr>
        <w:pStyle w:val="Normal"/>
        <w:shd w:val="clear" w:color="auto" w:fill="FFFFFF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на 2023 – 2033 годы»</w:t>
      </w:r>
    </w:p>
    <w:tbl>
      <w:tblPr>
        <w:tblW w:w="15105" w:type="dxa"/>
        <w:jc w:val="left"/>
        <w:tblInd w:w="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94"/>
        <w:gridCol w:w="2438"/>
        <w:gridCol w:w="9578"/>
        <w:gridCol w:w="2294"/>
      </w:tblGrid>
      <w:tr>
        <w:trPr>
          <w:tblHeader w:val="true"/>
          <w:trHeight w:val="128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Положение 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8"/>
                <w:szCs w:val="28"/>
                <w:lang w:val="ru-RU" w:eastAsia="en-US" w:bidi="ar-SA"/>
              </w:rPr>
              <w:t>документа</w:t>
            </w:r>
          </w:p>
        </w:tc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8"/>
                <w:szCs w:val="28"/>
                <w:lang w:val="ru-RU" w:eastAsia="en-US" w:bidi="ar-SA"/>
              </w:rPr>
              <w:t>П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редложения/замечания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8"/>
                <w:szCs w:val="28"/>
                <w:lang w:val="ru-RU" w:eastAsia="en-US" w:bidi="ar-SA"/>
              </w:rPr>
              <w:t>Примечание</w:t>
            </w:r>
          </w:p>
        </w:tc>
      </w:tr>
      <w:tr>
        <w:trPr>
          <w:trHeight w:val="764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113" w:right="0" w:hanging="0"/>
              <w:contextualSpacing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 xml:space="preserve">Глава 1,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раздел 1.1, стр.5</w:t>
            </w:r>
          </w:p>
        </w:tc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66"/>
              <w:keepNext w:val="false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false"/>
              <w:bidi w:val="0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eastAsia="Calibri" w:cs="Times New Roman" w:ascii="Times New Roman" w:hAnsi="Times New Roman" w:eastAsiaTheme="minorHAnsi"/>
                <w:bCs w:val="false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По тексту указана ссылка на</w:t>
            </w:r>
            <w:r>
              <w:rPr>
                <w:rFonts w:eastAsia="Calibri" w:cs="Times New Roman" w:ascii="Times New Roman" w:hAnsi="Times New Roman"/>
                <w:iCs/>
                <w:spacing w:val="6"/>
                <w:sz w:val="28"/>
                <w:szCs w:val="28"/>
              </w:rPr>
              <w:t xml:space="preserve"> программ</w:t>
            </w:r>
            <w:r>
              <w:rPr>
                <w:rFonts w:eastAsia="Calibri" w:cs="Times New Roman" w:ascii="Times New Roman" w:hAnsi="Times New Roman" w:eastAsiaTheme="minorHAnsi"/>
                <w:bCs w:val="false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у</w:t>
            </w:r>
            <w:r>
              <w:rPr>
                <w:rFonts w:eastAsia="Calibri" w:cs="Times New Roman" w:ascii="Times New Roman" w:hAnsi="Times New Roman"/>
                <w:iCs/>
                <w:spacing w:val="6"/>
                <w:sz w:val="28"/>
                <w:szCs w:val="28"/>
              </w:rPr>
              <w:t xml:space="preserve"> «Энергосбережение и повышение энергетической эффективности на территории муниципального образования «город Десногорск» Смоленской области на 2016-2020 годы» и </w:t>
            </w:r>
            <w:r>
              <w:rPr>
                <w:rFonts w:eastAsia="Calibri" w:cs="Times New Roman" w:ascii="Times New Roman" w:hAnsi="Times New Roman" w:eastAsiaTheme="minorHAnsi"/>
                <w:bCs w:val="false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 xml:space="preserve">приведены показатели экономии энергоресурсов, которые </w:t>
            </w:r>
            <w:r>
              <w:rPr>
                <w:rFonts w:eastAsia="Calibri" w:cs="Times New Roman" w:ascii="Times New Roman" w:hAnsi="Times New Roman" w:eastAsiaTheme="minorHAnsi"/>
                <w:b/>
                <w:bCs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 xml:space="preserve">будут 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достигнуты при реализации мероприятий данной программы. В связи с тем, что уже 2023 год, необходима актуализация данной программы или разработка новой. Привести информацию, какие мероприятия из программы на 2016-2020гг были выполнены и какие показатели по экономии энергоресурсов достигнуты.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113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113" w:right="0" w:hanging="0"/>
              <w:contextualSpacing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 xml:space="preserve">Глава 1,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раздел 1.2, стр.11</w:t>
            </w:r>
          </w:p>
        </w:tc>
        <w:tc>
          <w:tcPr>
            <w:tcW w:w="9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rPr>
                <w:rFonts w:ascii="Times New Roman" w:hAnsi="Times New Roman" w:eastAsia="Calibri" w:cs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Cs w:val="false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Исправить ссылки на документы в связи с их переизданием: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rPr>
                <w:rFonts w:ascii="Times New Roman" w:hAnsi="Times New Roman" w:eastAsia="Calibri" w:cs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Cs w:val="false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- Имеется: «…, ПР-013-ЦНИО,...», должно быть: «…, КР-001-ОИТПЭ»;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rPr>
                <w:rFonts w:ascii="Times New Roman" w:hAnsi="Times New Roman" w:eastAsia="Calibri" w:cs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Cs w:val="false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- Имеется: «…, ПР-019-ЦНИО,...», должно быть: «…, КР-002-ОИТПЭ».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bCs w:val="false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В связи с возможной ежегодной актуализацией (переизданием) данных документов рекомендую не указывать даты утверждения документов, инвентарные номера САЭС и номера приложений из режимных карт.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64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113" w:right="0" w:hanging="0"/>
              <w:contextualSpacing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 xml:space="preserve">Глава 1,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раздел 1.3, стр.29</w:t>
            </w:r>
          </w:p>
        </w:tc>
        <w:tc>
          <w:tcPr>
            <w:tcW w:w="9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bCs w:val="false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Изменить</w:t>
            </w:r>
            <w:r>
              <w:rPr>
                <w:rFonts w:eastAsia="Calibri" w:cs="Times New Roman" w:ascii="Times New Roman" w:hAnsi="Times New Roman"/>
                <w:bCs w:val="false"/>
                <w:iCs/>
                <w:spacing w:val="6"/>
                <w:sz w:val="28"/>
                <w:szCs w:val="28"/>
              </w:rPr>
              <w:t xml:space="preserve"> Примечание (приведено после описания Режима 3).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rPr/>
            </w:pPr>
            <w:r>
              <w:rPr>
                <w:rFonts w:eastAsia="Calibri" w:cs="Times New Roman" w:ascii="Times New Roman" w:hAnsi="Times New Roman"/>
                <w:bCs w:val="false"/>
                <w:iCs/>
                <w:spacing w:val="6"/>
                <w:sz w:val="28"/>
                <w:szCs w:val="28"/>
              </w:rPr>
              <w:t>Актуальный текст Примечания приведен в разделе 3 КР-001-ОИТПЭ после описания Режима 3.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КР-001-ОИТПЭ прилагается</w:t>
            </w:r>
          </w:p>
        </w:tc>
      </w:tr>
      <w:tr>
        <w:trPr>
          <w:trHeight w:val="1246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113" w:right="0" w:hanging="0"/>
              <w:contextualSpacing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 xml:space="preserve">Глава 1,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раздел 1.5, Таблица №12, стр.30-33</w:t>
            </w:r>
          </w:p>
        </w:tc>
        <w:tc>
          <w:tcPr>
            <w:tcW w:w="9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rPr/>
            </w:pPr>
            <w:r>
              <w:rPr>
                <w:rFonts w:eastAsia="Calibri" w:cs="Times New Roman" w:ascii="Times New Roman" w:hAnsi="Times New Roman"/>
                <w:bCs w:val="false"/>
                <w:iCs/>
                <w:spacing w:val="6"/>
                <w:sz w:val="28"/>
                <w:szCs w:val="28"/>
              </w:rPr>
              <w:t xml:space="preserve">В Таблице № 12 приведены не актуальные </w:t>
            </w:r>
            <w:r>
              <w:rPr>
                <w:rFonts w:eastAsia="Calibri" w:cs="Times New Roman" w:ascii="Times New Roman" w:hAnsi="Times New Roman" w:eastAsiaTheme="minorHAnsi"/>
                <w:bCs w:val="false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м</w:t>
            </w:r>
            <w:r>
              <w:rPr>
                <w:rFonts w:eastAsia="Calibri" w:cs="Times New Roman" w:ascii="Times New Roman" w:hAnsi="Times New Roman"/>
                <w:bCs w:val="false"/>
                <w:iCs/>
                <w:spacing w:val="6"/>
                <w:sz w:val="28"/>
                <w:szCs w:val="28"/>
              </w:rPr>
              <w:t>аксимально-часовые нагрузки потреб</w:t>
            </w:r>
            <w:r>
              <w:rPr>
                <w:rFonts w:eastAsia="Calibri" w:cs="Times New Roman" w:ascii="Times New Roman" w:hAnsi="Times New Roman" w:eastAsiaTheme="minorHAnsi"/>
                <w:bCs w:val="false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ителей. Требуется корректировка. Актуальные максимально-часовые нагрузки потребителей приведены в разделе 4 КР-001-ОИТПЭ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КР-001-ОИТПЭ прилагается</w:t>
            </w:r>
          </w:p>
        </w:tc>
      </w:tr>
      <w:tr>
        <w:trPr>
          <w:trHeight w:val="64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113" w:right="0" w:hanging="0"/>
              <w:contextualSpacing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 xml:space="preserve">Глава 1,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 xml:space="preserve">раздел 1.7,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Таблица №18, стр.45</w:t>
            </w:r>
          </w:p>
        </w:tc>
        <w:tc>
          <w:tcPr>
            <w:tcW w:w="9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rPr>
                <w:rFonts w:ascii="Times New Roman" w:hAnsi="Times New Roman" w:eastAsia="Calibri" w:cs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В Таблица №18, п/п №4 в «Наименовании показателя» исключить «и промконтура холодильной станции кондиционирования», в значении данного показателя: «380» заменить на «320».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trHeight w:val="764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113" w:right="0" w:hanging="0"/>
              <w:contextualSpacing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 xml:space="preserve">Глава 1,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 xml:space="preserve">раздел 1.10,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Таблица №21, стр.50</w:t>
            </w:r>
          </w:p>
        </w:tc>
        <w:tc>
          <w:tcPr>
            <w:tcW w:w="9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 xml:space="preserve">1. Описка. </w:t>
            </w:r>
            <w:r>
              <w:rPr>
                <w:rFonts w:eastAsia="Calibri" w:cs="Times New Roman" w:ascii="Times New Roman" w:hAnsi="Times New Roman" w:eastAsiaTheme="minorHAnsi"/>
                <w:bCs w:val="false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- Имеется: «…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показатели работы САЭС представлены в</w:t>
              <w:br/>
              <w:t xml:space="preserve"> таблице № </w:t>
            </w:r>
            <w:r>
              <w:rPr>
                <w:rFonts w:eastAsia="Calibri" w:cs="Times New Roman" w:ascii="Times New Roman" w:hAnsi="Times New Roman" w:eastAsiaTheme="minorHAnsi"/>
                <w:b/>
                <w:bCs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25</w:t>
            </w:r>
            <w:r>
              <w:rPr>
                <w:rFonts w:eastAsia="Calibri" w:cs="Times New Roman" w:ascii="Times New Roman" w:hAnsi="Times New Roman" w:eastAsiaTheme="minorHAnsi"/>
                <w:bCs w:val="false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», должно быть: «…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 xml:space="preserve">показатели работы САЭС представлены в таблице № </w:t>
            </w:r>
            <w:r>
              <w:rPr>
                <w:rFonts w:eastAsia="Calibri" w:cs="Times New Roman" w:ascii="Times New Roman" w:hAnsi="Times New Roman" w:eastAsiaTheme="minorHAnsi"/>
                <w:b/>
                <w:bCs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21</w:t>
            </w:r>
            <w:r>
              <w:rPr>
                <w:rFonts w:eastAsia="Calibri" w:cs="Times New Roman" w:ascii="Times New Roman" w:hAnsi="Times New Roman" w:eastAsiaTheme="minorHAnsi"/>
                <w:bCs w:val="false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».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bCs w:val="false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 xml:space="preserve">2. Необходимо актуализировать 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Таблица № 21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Cs/>
                <w:cap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 xml:space="preserve"> - 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Производственные показатели САЭС. Привести данные за 2022 год.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trHeight w:val="764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113" w:right="0" w:hanging="0"/>
              <w:contextualSpacing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 xml:space="preserve">Глава 1,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 xml:space="preserve">раздел 1.11,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Таблица №22, стр.51</w:t>
            </w:r>
          </w:p>
        </w:tc>
        <w:tc>
          <w:tcPr>
            <w:tcW w:w="9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 xml:space="preserve">Приведены тарифы за 2016-2018гг. Необходимо актуализировать Таблица № 22 -  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Cs/>
                <w:color w:val="auto"/>
                <w:spacing w:val="6"/>
                <w:kern w:val="0"/>
                <w:sz w:val="28"/>
                <w:szCs w:val="28"/>
                <w:lang w:val="ru-RU" w:eastAsia="ru-RU" w:bidi="ar-SA"/>
              </w:rPr>
              <w:t xml:space="preserve">Цены (тарифы) в сфере теплоснабжения </w:t>
            </w:r>
            <w:r>
              <w:rPr>
                <w:rFonts w:eastAsia="Calibri" w:cs="Times New Roman" w:ascii="Times New Roman" w:hAnsi="Times New Roman"/>
                <w:b w:val="false"/>
                <w:bCs/>
                <w:iCs/>
                <w:color w:val="000000"/>
                <w:spacing w:val="6"/>
                <w:kern w:val="0"/>
                <w:sz w:val="28"/>
                <w:szCs w:val="28"/>
                <w:lang w:val="ru-RU" w:eastAsia="ru-RU" w:bidi="ar-SA"/>
              </w:rPr>
              <w:t xml:space="preserve">тарифы для населения.  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Привести данные за последние три года.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trHeight w:val="382" w:hRule="atLeast"/>
        </w:trPr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113" w:right="0" w:hanging="0"/>
              <w:contextualSpacing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 xml:space="preserve">Глава 1,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 xml:space="preserve">раздел 1.12,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стр.52 последний  абзац раздела.</w:t>
            </w:r>
          </w:p>
        </w:tc>
        <w:tc>
          <w:tcPr>
            <w:tcW w:w="95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spacing w:val="6"/>
                <w:kern w:val="0"/>
                <w:sz w:val="28"/>
                <w:szCs w:val="28"/>
                <w:lang w:val="ru-RU" w:bidi="ar-SA"/>
              </w:rPr>
              <w:t>Необходимо уточнить сроки введен</w:t>
            </w: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ия</w:t>
            </w:r>
            <w:r>
              <w:rPr>
                <w:rFonts w:eastAsia="Calibri" w:cs="Times New Roman" w:ascii="Times New Roman" w:hAnsi="Times New Roman"/>
                <w:iCs/>
                <w:spacing w:val="6"/>
                <w:kern w:val="0"/>
                <w:sz w:val="28"/>
                <w:szCs w:val="28"/>
                <w:lang w:val="ru-RU" w:bidi="ar-SA"/>
              </w:rPr>
              <w:t xml:space="preserve"> в эксплуатацию энергоблоков №1 и №2 замещающ</w:t>
            </w: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ей</w:t>
            </w:r>
            <w:r>
              <w:rPr>
                <w:rFonts w:eastAsia="Calibri" w:cs="Times New Roman" w:ascii="Times New Roman" w:hAnsi="Times New Roman"/>
                <w:iCs/>
                <w:spacing w:val="6"/>
                <w:kern w:val="0"/>
                <w:sz w:val="28"/>
                <w:szCs w:val="28"/>
                <w:lang w:val="ru-RU" w:bidi="ar-SA"/>
              </w:rPr>
              <w:t xml:space="preserve"> Смоленск</w:t>
            </w: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ой</w:t>
            </w:r>
            <w:r>
              <w:rPr>
                <w:rFonts w:eastAsia="Calibri" w:cs="Times New Roman" w:ascii="Times New Roman" w:hAnsi="Times New Roman"/>
                <w:iCs/>
                <w:spacing w:val="6"/>
                <w:kern w:val="0"/>
                <w:sz w:val="28"/>
                <w:szCs w:val="28"/>
                <w:lang w:val="ru-RU" w:bidi="ar-SA"/>
              </w:rPr>
              <w:t xml:space="preserve"> АЭС-2.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spacing w:val="6"/>
                <w:kern w:val="0"/>
                <w:sz w:val="28"/>
                <w:szCs w:val="28"/>
                <w:lang w:val="ru-RU" w:bidi="ar-SA"/>
              </w:rPr>
              <w:t xml:space="preserve">Ввод в эксплуатацию энергоблоков № 1 и №2 Смоленской АЭС-2 на основании Распоряжения Правительства Российской Федерации от 25.11.2021 No 3320-р «О внесении изменений в Генеральную схему размещения объектов электроэнергетики до 2035 года» запланирован в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spacing w:val="6"/>
                <w:kern w:val="0"/>
                <w:sz w:val="28"/>
                <w:szCs w:val="28"/>
                <w:lang w:val="ru-RU" w:bidi="ar-SA"/>
              </w:rPr>
              <w:t>период 2031 – 2035 гг., а именно в 2033 и 2035 гг. соответственно.</w:t>
            </w:r>
          </w:p>
        </w:tc>
        <w:tc>
          <w:tcPr>
            <w:tcW w:w="22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trHeight w:val="382" w:hRule="atLeast"/>
        </w:trPr>
        <w:tc>
          <w:tcPr>
            <w:tcW w:w="7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113" w:right="0" w:hanging="0"/>
              <w:contextualSpacing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 xml:space="preserve">Глава 6,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стр. 67</w:t>
            </w:r>
          </w:p>
        </w:tc>
        <w:tc>
          <w:tcPr>
            <w:tcW w:w="95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trHeight w:val="764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113" w:right="0" w:hanging="0"/>
              <w:contextualSpacing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 xml:space="preserve">Глава 6,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Таблица №28, стр.51</w:t>
            </w:r>
          </w:p>
        </w:tc>
        <w:tc>
          <w:tcPr>
            <w:tcW w:w="9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rPr/>
            </w:pPr>
            <w:r>
              <w:rPr>
                <w:rFonts w:eastAsia="Calibri" w:cs="Times New Roman" w:ascii="Times New Roman" w:hAnsi="Times New Roman"/>
                <w:bCs w:val="false"/>
                <w:iCs/>
                <w:spacing w:val="6"/>
                <w:sz w:val="28"/>
                <w:szCs w:val="28"/>
              </w:rPr>
              <w:t xml:space="preserve">В Таблице № </w:t>
            </w:r>
            <w:r>
              <w:rPr>
                <w:rFonts w:eastAsia="Calibri" w:cs="Times New Roman" w:ascii="Times New Roman" w:hAnsi="Times New Roman" w:eastAsiaTheme="minorHAnsi"/>
                <w:bCs w:val="false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28</w:t>
            </w:r>
            <w:r>
              <w:rPr>
                <w:rFonts w:eastAsia="Calibri" w:cs="Times New Roman" w:ascii="Times New Roman" w:hAnsi="Times New Roman"/>
                <w:bCs w:val="false"/>
                <w:iCs/>
                <w:spacing w:val="6"/>
                <w:sz w:val="28"/>
                <w:szCs w:val="28"/>
              </w:rPr>
              <w:t xml:space="preserve"> приведены не актуальные </w:t>
            </w:r>
            <w:r>
              <w:rPr>
                <w:rFonts w:eastAsia="Calibri" w:cs="Times New Roman" w:ascii="Times New Roman" w:hAnsi="Times New Roman" w:eastAsiaTheme="minorHAnsi"/>
                <w:bCs w:val="false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м</w:t>
            </w:r>
            <w:r>
              <w:rPr>
                <w:rFonts w:eastAsia="Calibri" w:cs="Times New Roman" w:ascii="Times New Roman" w:hAnsi="Times New Roman"/>
                <w:bCs w:val="false"/>
                <w:iCs/>
                <w:spacing w:val="6"/>
                <w:sz w:val="28"/>
                <w:szCs w:val="28"/>
              </w:rPr>
              <w:t xml:space="preserve">аксимально-часовые нагрузки </w:t>
            </w:r>
            <w:r>
              <w:rPr>
                <w:rFonts w:eastAsia="Calibri" w:cs="Times New Roman" w:ascii="Times New Roman" w:hAnsi="Times New Roman" w:eastAsiaTheme="minorHAnsi"/>
                <w:bCs w:val="false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 xml:space="preserve">объектов САЭС. Требуется корректировка. Актуальные максимально-часовые нагрузки объектов САЭС (в Гкал/час) приведены в разделе 4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bCs w:val="false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КР-001-ОИТПЭ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КР-001-ОИТПЭ прилагается</w:t>
            </w:r>
          </w:p>
        </w:tc>
      </w:tr>
      <w:tr>
        <w:trPr>
          <w:trHeight w:val="764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113" w:right="0" w:hanging="0"/>
              <w:contextualSpacing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 xml:space="preserve">Глава 1,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раздел 1.3</w:t>
            </w:r>
          </w:p>
        </w:tc>
        <w:tc>
          <w:tcPr>
            <w:tcW w:w="9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rPr>
                <w:rFonts w:ascii="Times New Roman" w:hAnsi="Times New Roman" w:eastAsia="Calibri" w:cs="Times New Roman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 xml:space="preserve">Магистральная тепловая сеть №1  (рег.№ МТ-1) открытого горячего водоразбора предназначена для обеспечения горячей водой и теплом зданий и сооружений: 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eastAsia="Calibri" w:cs="Times New Roman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1 ПЧ заменить на СПСЧ №1.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64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113" w:right="0" w:hanging="0"/>
              <w:contextualSpacing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 xml:space="preserve">Глава 1,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раздел 1.3</w:t>
            </w:r>
          </w:p>
        </w:tc>
        <w:tc>
          <w:tcPr>
            <w:tcW w:w="9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rPr>
                <w:rFonts w:ascii="Times New Roman" w:hAnsi="Times New Roman" w:eastAsia="Calibri" w:cs="Times New Roman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Магистральная тепловая сеть №2 (</w:t>
            </w:r>
            <w:r>
              <w:rPr>
                <w:rFonts w:eastAsia="Calibri" w:cs="Times New Roman" w:ascii="Times New Roman" w:hAnsi="Times New Roman"/>
                <w:iCs/>
                <w:strike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рег. №2ТТК-3,</w:t>
            </w:r>
            <w:r>
              <w:rPr>
                <w:rFonts w:eastAsia="Calibri" w:cs="Times New Roman" w:ascii="Times New Roman" w:hAnsi="Times New Roman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 xml:space="preserve"> 2ТТК-4) . Убрать №2ТТК-3.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64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113" w:right="0" w:hanging="0"/>
              <w:contextualSpacing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 xml:space="preserve">Глава 1,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раздел 1.3</w:t>
            </w:r>
          </w:p>
        </w:tc>
        <w:tc>
          <w:tcPr>
            <w:tcW w:w="9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rPr>
                <w:rFonts w:ascii="Times New Roman" w:hAnsi="Times New Roman" w:eastAsia="Calibri" w:cs="Times New Roman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«Испытания на максимальную температуру теплоносителя проводятся с целью определения компенсирующей способности тепловых сетей раз в 2 года. Испытания на тепловые потери проводятся 1 раз в 5 лет с целью определения нормативных потерь».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rPr>
                <w:rFonts w:ascii="Times New Roman" w:hAnsi="Times New Roman" w:eastAsia="Calibri" w:cs="Times New Roman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Откорректировать с учетом требований п.6.2.32 правил ПТЭТЭ</w:t>
            </w:r>
          </w:p>
          <w:p>
            <w:pPr>
              <w:pStyle w:val="Style30"/>
              <w:widowControl w:val="false"/>
              <w:shd w:val="clear" w:color="auto" w:fill="FFFFFF"/>
              <w:spacing w:lineRule="auto" w:line="276" w:before="0" w:after="0"/>
              <w:rPr>
                <w:rFonts w:ascii="Times New Roman" w:hAnsi="Times New Roman" w:eastAsia="Calibri" w:cs="Times New Roman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Испытания на максимальную температуру проводятся  1 раз в 5 лет.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64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113" w:right="0" w:hanging="0"/>
              <w:contextualSpacing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 xml:space="preserve">Глава 1,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раздел 1.3</w:t>
            </w:r>
          </w:p>
        </w:tc>
        <w:tc>
          <w:tcPr>
            <w:tcW w:w="9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rPr>
                <w:rFonts w:ascii="Times New Roman" w:hAnsi="Times New Roman" w:cs="Times New Roman"/>
                <w:iCs/>
                <w:color w:val="000000"/>
                <w:spacing w:val="6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spacing w:val="6"/>
                <w:kern w:val="0"/>
                <w:sz w:val="28"/>
                <w:szCs w:val="28"/>
                <w:lang w:val="ru-RU" w:eastAsia="en-US" w:bidi="ar-SA"/>
              </w:rPr>
              <w:t>Примечание: «...осуществляется по распоряжению ЗГИ по эксплуатации 1 очереди после доклада НС ЦОС(ТСС), ДИЭ ОВ ЦЦР и письменного подтверждения главного инженера МУП «ККП», руководства МУ СП «Радуга», объект «Теплица», рыбхоз «Смоленский», СмАТЭ, ООО «Оксиген», ООО «Гидрострой», ООО «Десстрой», «САЭР», АО «Атомэнергоремонт», ООО«ЭЦМ - Десногорск», ООО «Стройтехиндустрия», ОАО «ЭлС», ООО фирма «Малая механизация», ЗАО «НЭ НЭПТ» об окончании переключения ГВС на обратный трубопровод узлов тепло-водоснабжения (при отсутствии регулятора ГВС)»</w:t>
            </w:r>
          </w:p>
          <w:p>
            <w:pPr>
              <w:pStyle w:val="Style31"/>
              <w:widowControl w:val="false"/>
              <w:shd w:val="clear" w:color="auto" w:fill="FFFFFF"/>
              <w:tabs>
                <w:tab w:val="clear" w:pos="1418"/>
                <w:tab w:val="left" w:pos="1134" w:leader="none"/>
              </w:tabs>
              <w:spacing w:lineRule="auto" w:line="288" w:before="0" w:after="0"/>
              <w:ind w:firstLine="709"/>
              <w:jc w:val="both"/>
              <w:rPr>
                <w:rFonts w:ascii="Times New Roman" w:hAnsi="Times New Roman" w:eastAsia="Calibri" w:cs="Times New Roman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auto"/>
                <w:spacing w:val="6"/>
                <w:kern w:val="0"/>
                <w:sz w:val="28"/>
                <w:szCs w:val="24"/>
                <w:lang w:val="ru-RU" w:eastAsia="en-US" w:bidi="ar-SA"/>
              </w:rPr>
              <w:t>Заменить на текст: «...осуществляется по распоряжению первого ЗГИ по эксплуатации (ЗГИ по эксплуатации) после доклада НС ЦОС(ТСС), НС ЦВ и письменного подтверждения главного инженера МУП "ККП", руководства ООО "Смоленская АЭС-Сервис", МУСП "Радуга", ЗАО "Смоленскрыбхоз", Смоленского Ф "Смоленскатомтехэнерго" АО "Атомтехэнерго, ООО "Спецтехнологи</w:t>
            </w:r>
            <w:r>
              <w:rPr>
                <w:rFonts w:eastAsia="Calibri" w:cs="Times New Roman" w:ascii="Times New Roman" w:hAnsi="Times New Roman"/>
                <w:iCs/>
                <w:color w:val="000000"/>
                <w:spacing w:val="6"/>
                <w:kern w:val="0"/>
                <w:sz w:val="28"/>
                <w:szCs w:val="24"/>
                <w:shd w:fill="FFFFFF" w:val="clear"/>
                <w:lang w:val="ru-RU" w:eastAsia="en-US" w:bidi="ar-SA"/>
              </w:rPr>
              <w:t>и", ООО "ДЭП",</w:t>
            </w:r>
            <w:r>
              <w:rPr>
                <w:rFonts w:eastAsia="Calibri" w:cs="Times New Roman" w:ascii="Times New Roman" w:hAnsi="Times New Roman"/>
                <w:iCs/>
                <w:color w:val="auto"/>
                <w:spacing w:val="6"/>
                <w:kern w:val="0"/>
                <w:sz w:val="28"/>
                <w:szCs w:val="24"/>
                <w:lang w:val="ru-RU" w:eastAsia="en-US" w:bidi="ar-SA"/>
              </w:rPr>
              <w:t xml:space="preserve"> ООО "М-РЕАЛТИ", ИП Яшкин А.В., ООО "Оксиген", ООО СФПСК "Щит", Ф "Мосэнергохимзащита" ОАО "Фирма Энергозащита", АО "Смоленскэнергоремонт", ООО "Гидрострой", ОАО "НИКИМТ-Атомстрой", СУ Ф АО "Электроцентромонтаж", ЗАО "НЭПТ", Вилисов А.Н.,Ф «АтомЭнергоСбыт» Смоленск, "САЭР" Ф АО"Атомэнергоремонт", ОАО "ЭлС", ООО "Стройтехиндустрия" об окончании переключения ГВС на обратный трубопровод узлов тепловодоснабжения (при отсутствии регулятора ГВС)»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64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113" w:right="0" w:hanging="0"/>
              <w:contextualSpacing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Глава 7</w:t>
            </w: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</w:tc>
        <w:tc>
          <w:tcPr>
            <w:tcW w:w="9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 xml:space="preserve">«В соответствии с п. 10 ст. 20 Федерального закона от 7 декабря 2011 года N 417-ФЗ               «О внесении изменений в отдельные законодательные акты Российской Федерации в связи с принятием Федерального закона «О водоснабжении и водоотведении»»: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 xml:space="preserve">статья 29 [Федерального закона «О теплоснабжении»]: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9.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допускается".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rPr>
                <w:rFonts w:ascii="Times New Roman" w:hAnsi="Times New Roman" w:eastAsia="Calibri" w:cs="Times New Roman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 xml:space="preserve">Откорректировать с учетом Федерального закона от 30 декабря 2021 г.  №438-Ф3 "О внесении изменений в Федеральный закон "О теплоснабжении"".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 w:before="0" w:after="0"/>
              <w:rPr>
                <w:rFonts w:ascii="Times New Roman" w:hAnsi="Times New Roman" w:eastAsia="Calibri" w:cs="Times New Roman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Cs/>
                <w:color w:val="auto"/>
                <w:spacing w:val="6"/>
                <w:kern w:val="0"/>
                <w:sz w:val="28"/>
                <w:szCs w:val="28"/>
                <w:lang w:val="ru-RU" w:eastAsia="en-US" w:bidi="ar-SA"/>
              </w:rPr>
              <w:t>п.9.Статья 29  Федерального закона от 27 июля 2010 года "О теплоснабжении" утратила силу норму, которая запрещала с 1 января 2022 года использование открытых систем теплоснабжения и ГВС.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/>
      </w:r>
    </w:p>
    <w:sectPr>
      <w:footerReference w:type="default" r:id="rId2"/>
      <w:type w:val="nextPage"/>
      <w:pgSz w:orient="landscape" w:w="16838" w:h="11906"/>
      <w:pgMar w:left="851" w:right="737" w:header="0" w:top="1036" w:footer="284" w:bottom="6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3439177"/>
    </w:sdtPr>
    <w:sdtContent>
      <w:p>
        <w:pPr>
          <w:pStyle w:val="Style24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 PAGE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4</w:t>
        </w:r>
        <w:r>
          <w:rPr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15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9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b w:val="false"/>
        <w:rFonts w:ascii="Times New Roman" w:hAnsi="Times New Roman" w:eastAsia="Calibri" w:cs="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rFonts w:cs="Arial"/>
      <w:bCs/>
      <w:i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5"/>
    <w:uiPriority w:val="99"/>
    <w:qFormat/>
    <w:rsid w:val="00403e44"/>
    <w:rPr/>
  </w:style>
  <w:style w:type="character" w:styleId="Style14" w:customStyle="1">
    <w:name w:val="Нижний колонтитул Знак"/>
    <w:basedOn w:val="DefaultParagraphFont"/>
    <w:link w:val="a7"/>
    <w:uiPriority w:val="99"/>
    <w:qFormat/>
    <w:rsid w:val="00403e44"/>
    <w:rPr/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2a6201"/>
    <w:rPr>
      <w:rFonts w:ascii="Segoe UI" w:hAnsi="Segoe UI" w:cs="Segoe UI"/>
      <w:sz w:val="18"/>
      <w:szCs w:val="18"/>
    </w:rPr>
  </w:style>
  <w:style w:type="character" w:styleId="Style16" w:customStyle="1">
    <w:name w:val="Интернет-ссылка"/>
    <w:basedOn w:val="DefaultParagraphFont"/>
    <w:uiPriority w:val="99"/>
    <w:unhideWhenUsed/>
    <w:rsid w:val="00c637ab"/>
    <w:rPr>
      <w:color w:val="0000FF" w:themeColor="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df1c38"/>
    <w:pPr>
      <w:spacing w:before="0" w:after="20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403e4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403e4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2a620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5" w:customStyle="1">
    <w:name w:val="нормальный"/>
    <w:basedOn w:val="Normal"/>
    <w:qFormat/>
    <w:rsid w:val="006429c8"/>
    <w:pPr>
      <w:spacing w:lineRule="auto" w:line="300" w:before="0" w:after="0"/>
      <w:ind w:firstLine="720"/>
      <w:jc w:val="both"/>
    </w:pPr>
    <w:rPr>
      <w:rFonts w:ascii="Arial" w:hAnsi="Arial" w:eastAsia="Times New Rom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qFormat/>
    <w:rsid w:val="00403c3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6" w:customStyle="1">
    <w:name w:val="наименование"/>
    <w:basedOn w:val="Normal"/>
    <w:qFormat/>
    <w:rsid w:val="007e38b6"/>
    <w:pPr>
      <w:spacing w:lineRule="auto" w:line="240" w:before="0" w:after="0"/>
      <w:jc w:val="both"/>
    </w:pPr>
    <w:rPr>
      <w:rFonts w:ascii="Arial" w:hAnsi="Arial" w:eastAsia="Times New Roman" w:cs="Times New Roman"/>
      <w:sz w:val="24"/>
      <w:szCs w:val="20"/>
      <w:lang w:eastAsia="ru-RU"/>
    </w:rPr>
  </w:style>
  <w:style w:type="paragraph" w:styleId="21">
    <w:name w:val="Текст 2"/>
    <w:basedOn w:val="2"/>
    <w:qFormat/>
    <w:pPr>
      <w:keepNext w:val="false"/>
      <w:spacing w:lineRule="auto" w:line="288" w:before="60" w:after="0"/>
      <w:jc w:val="both"/>
    </w:pPr>
    <w:rPr>
      <w:rFonts w:cs="Times New Roman"/>
      <w:bCs w:val="false"/>
      <w:iCs w:val="false"/>
    </w:rPr>
  </w:style>
  <w:style w:type="paragraph" w:styleId="266">
    <w:name w:val="Стиль Текст 2 + Перед:  6 пт После:  6 пт Междустр.интервал:  оди..."/>
    <w:basedOn w:val="21"/>
    <w:qFormat/>
    <w:pPr>
      <w:numPr>
        <w:ilvl w:val="0"/>
        <w:numId w:val="2"/>
      </w:numPr>
      <w:tabs>
        <w:tab w:val="clear" w:pos="708"/>
        <w:tab w:val="left" w:pos="1417" w:leader="none"/>
      </w:tabs>
      <w:spacing w:lineRule="auto" w:line="240" w:before="120" w:after="120"/>
      <w:ind w:left="141" w:right="0" w:hanging="0"/>
    </w:pPr>
    <w:rPr>
      <w:szCs w:val="24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ListBullet">
    <w:name w:val="List Bullet"/>
    <w:basedOn w:val="Normal"/>
    <w:qFormat/>
    <w:pPr>
      <w:jc w:val="both"/>
    </w:pPr>
    <w:rPr>
      <w:lang w:val="en-US"/>
    </w:rPr>
  </w:style>
  <w:style w:type="paragraph" w:styleId="Style29">
    <w:name w:val="Стиль Маркированный список"/>
    <w:basedOn w:val="ListBullet"/>
    <w:qFormat/>
    <w:pPr>
      <w:numPr>
        <w:ilvl w:val="0"/>
        <w:numId w:val="1"/>
      </w:numPr>
      <w:spacing w:before="60" w:after="60"/>
    </w:pPr>
    <w:rPr/>
  </w:style>
  <w:style w:type="paragraph" w:styleId="Style30">
    <w:name w:val="Обычный (веб)"/>
    <w:basedOn w:val="Normal"/>
    <w:qFormat/>
    <w:pPr>
      <w:spacing w:before="30" w:after="30"/>
    </w:pPr>
    <w:rPr>
      <w:rFonts w:ascii="Arial" w:hAnsi="Arial" w:cs="Arial"/>
      <w:color w:val="332E2D"/>
      <w:spacing w:val="2"/>
    </w:rPr>
  </w:style>
  <w:style w:type="paragraph" w:styleId="Style31">
    <w:name w:val="Body Text Indent"/>
    <w:basedOn w:val="Normal"/>
    <w:pPr>
      <w:tabs>
        <w:tab w:val="clear" w:pos="708"/>
        <w:tab w:val="left" w:pos="1418" w:leader="none"/>
      </w:tabs>
      <w:spacing w:lineRule="auto" w:line="360"/>
      <w:ind w:firstLine="851"/>
    </w:pPr>
    <w:rPr>
      <w:b w:val="fals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df1c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Application>LibreOffice/7.0.3.1$Linux_X86_64 LibreOffice_project/00$Build-1</Application>
  <Pages>4</Pages>
  <Words>801</Words>
  <Characters>5246</Characters>
  <CharactersWithSpaces>6017</CharactersWithSpaces>
  <Paragraphs>84</Paragraphs>
  <Company>САЭС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2021-08-27T12:49:00Z</dcterms:created>
  <dc:creator>Каллаур Марианна Викторовна</dc:creator>
  <dc:description/>
  <dc:language>ru-RU</dc:language>
  <cp:lastModifiedBy/>
  <cp:lastPrinted>2021-08-24T06:41:00Z</cp:lastPrinted>
  <dcterms:modified xsi:type="dcterms:W3CDTF">2023-04-06T16:09:51Z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САЭС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