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75" w:rsidRDefault="00302675" w:rsidP="00302675">
      <w:pPr>
        <w:tabs>
          <w:tab w:val="left" w:pos="993"/>
        </w:tabs>
        <w:spacing w:line="276" w:lineRule="auto"/>
        <w:ind w:firstLine="567"/>
        <w:jc w:val="center"/>
        <w:rPr>
          <w:rFonts w:ascii="Times New Roman" w:hAnsi="Times New Roman"/>
          <w:b/>
          <w:sz w:val="28"/>
          <w:szCs w:val="28"/>
        </w:rPr>
      </w:pPr>
      <w:r>
        <w:rPr>
          <w:rFonts w:ascii="Times New Roman" w:hAnsi="Times New Roman"/>
          <w:b/>
          <w:sz w:val="28"/>
          <w:szCs w:val="28"/>
        </w:rPr>
        <w:t>Порядок обжалования муниципальных правовых актов, принятых Десногорским городским Советом</w:t>
      </w:r>
    </w:p>
    <w:p w:rsidR="00302675" w:rsidRPr="00302675" w:rsidRDefault="00302675" w:rsidP="00302675">
      <w:pPr>
        <w:tabs>
          <w:tab w:val="left" w:pos="993"/>
        </w:tabs>
        <w:spacing w:line="276" w:lineRule="auto"/>
        <w:ind w:firstLine="567"/>
        <w:jc w:val="center"/>
        <w:rPr>
          <w:rFonts w:ascii="Times New Roman" w:hAnsi="Times New Roman"/>
          <w:b/>
          <w:sz w:val="28"/>
          <w:szCs w:val="28"/>
        </w:rPr>
      </w:pPr>
    </w:p>
    <w:p w:rsidR="00302675" w:rsidRPr="00412B67" w:rsidRDefault="00302675" w:rsidP="00302675">
      <w:pPr>
        <w:tabs>
          <w:tab w:val="left" w:pos="993"/>
        </w:tabs>
        <w:spacing w:line="276" w:lineRule="auto"/>
        <w:ind w:firstLine="567"/>
        <w:jc w:val="both"/>
        <w:rPr>
          <w:rFonts w:ascii="Times New Roman" w:hAnsi="Times New Roman"/>
          <w:sz w:val="28"/>
          <w:szCs w:val="28"/>
        </w:rPr>
      </w:pPr>
      <w:r w:rsidRPr="00412B67">
        <w:rPr>
          <w:rFonts w:ascii="Times New Roman" w:hAnsi="Times New Roman"/>
          <w:sz w:val="28"/>
          <w:szCs w:val="28"/>
        </w:rPr>
        <w:t>В систему муниципальных правовых актов входят:</w:t>
      </w:r>
    </w:p>
    <w:p w:rsidR="00302675" w:rsidRPr="00412B67" w:rsidRDefault="00302675" w:rsidP="00302675">
      <w:pPr>
        <w:widowControl/>
        <w:numPr>
          <w:ilvl w:val="1"/>
          <w:numId w:val="2"/>
        </w:numPr>
        <w:tabs>
          <w:tab w:val="left" w:pos="993"/>
        </w:tabs>
        <w:spacing w:line="276" w:lineRule="auto"/>
        <w:ind w:left="0" w:firstLine="567"/>
        <w:jc w:val="both"/>
        <w:rPr>
          <w:rFonts w:ascii="Times New Roman" w:hAnsi="Times New Roman"/>
          <w:sz w:val="28"/>
          <w:szCs w:val="28"/>
        </w:rPr>
      </w:pPr>
      <w:r w:rsidRPr="00412B67">
        <w:rPr>
          <w:rFonts w:ascii="Times New Roman" w:hAnsi="Times New Roman"/>
          <w:i/>
          <w:sz w:val="28"/>
          <w:szCs w:val="28"/>
        </w:rPr>
        <w:t xml:space="preserve"> </w:t>
      </w:r>
      <w:r w:rsidRPr="00412B67">
        <w:rPr>
          <w:rFonts w:ascii="Times New Roman" w:hAnsi="Times New Roman"/>
          <w:sz w:val="28"/>
          <w:szCs w:val="28"/>
        </w:rPr>
        <w:t>Устав муниципального образования, правовые акты, принятые на местном референдуме;</w:t>
      </w:r>
    </w:p>
    <w:p w:rsidR="00302675" w:rsidRPr="00412B67" w:rsidRDefault="00302675" w:rsidP="00302675">
      <w:pPr>
        <w:widowControl/>
        <w:numPr>
          <w:ilvl w:val="1"/>
          <w:numId w:val="2"/>
        </w:numPr>
        <w:tabs>
          <w:tab w:val="left" w:pos="993"/>
        </w:tabs>
        <w:spacing w:line="276" w:lineRule="auto"/>
        <w:ind w:left="0" w:firstLine="567"/>
        <w:jc w:val="both"/>
        <w:rPr>
          <w:rFonts w:ascii="Times New Roman" w:hAnsi="Times New Roman"/>
          <w:sz w:val="28"/>
          <w:szCs w:val="28"/>
        </w:rPr>
      </w:pPr>
      <w:r w:rsidRPr="00412B67">
        <w:rPr>
          <w:rFonts w:ascii="Times New Roman" w:hAnsi="Times New Roman"/>
          <w:sz w:val="28"/>
          <w:szCs w:val="28"/>
        </w:rPr>
        <w:t xml:space="preserve"> нормативные и иные правовые акты Десногорского городского Совета;</w:t>
      </w:r>
    </w:p>
    <w:p w:rsidR="00302675" w:rsidRPr="00412B67" w:rsidRDefault="00302675" w:rsidP="00302675">
      <w:pPr>
        <w:widowControl/>
        <w:tabs>
          <w:tab w:val="left" w:pos="993"/>
        </w:tabs>
        <w:spacing w:line="276" w:lineRule="auto"/>
        <w:ind w:firstLine="567"/>
        <w:jc w:val="both"/>
        <w:rPr>
          <w:rFonts w:ascii="Times New Roman" w:hAnsi="Times New Roman"/>
          <w:sz w:val="28"/>
          <w:szCs w:val="28"/>
        </w:rPr>
      </w:pPr>
      <w:r w:rsidRPr="00412B67">
        <w:rPr>
          <w:rFonts w:ascii="Times New Roman" w:hAnsi="Times New Roman"/>
          <w:sz w:val="28"/>
          <w:szCs w:val="28"/>
        </w:rPr>
        <w:t>1.3 правовые акты Главы муниципального образования, Администрации города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hAnsi="Times New Roman"/>
          <w:sz w:val="28"/>
          <w:szCs w:val="28"/>
        </w:rPr>
        <w:t>.</w:t>
      </w:r>
    </w:p>
    <w:p w:rsidR="00302675" w:rsidRDefault="00302675" w:rsidP="00302675">
      <w:pPr>
        <w:widowControl/>
        <w:numPr>
          <w:ilvl w:val="1"/>
          <w:numId w:val="1"/>
        </w:numPr>
        <w:tabs>
          <w:tab w:val="left" w:pos="993"/>
        </w:tabs>
        <w:spacing w:line="276" w:lineRule="auto"/>
        <w:ind w:firstLine="567"/>
        <w:jc w:val="both"/>
        <w:rPr>
          <w:rFonts w:ascii="Times New Roman" w:hAnsi="Times New Roman"/>
          <w:sz w:val="28"/>
        </w:rPr>
      </w:pPr>
      <w:r>
        <w:rPr>
          <w:rFonts w:ascii="Times New Roman" w:hAnsi="Times New Roman"/>
          <w:sz w:val="28"/>
        </w:rPr>
        <w:t>Устав города Десногорска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обязательны для исполнения на всей территории города Десногорска.</w:t>
      </w:r>
    </w:p>
    <w:p w:rsidR="00302675" w:rsidRDefault="00302675" w:rsidP="00302675">
      <w:pPr>
        <w:widowControl/>
        <w:tabs>
          <w:tab w:val="left" w:pos="993"/>
        </w:tabs>
        <w:spacing w:line="276" w:lineRule="auto"/>
        <w:ind w:firstLine="851"/>
        <w:jc w:val="both"/>
        <w:rPr>
          <w:rFonts w:ascii="Times New Roman" w:hAnsi="Times New Roman"/>
          <w:sz w:val="28"/>
        </w:rPr>
      </w:pPr>
      <w:r>
        <w:rPr>
          <w:rFonts w:ascii="Times New Roman" w:hAnsi="Times New Roman"/>
          <w:sz w:val="28"/>
        </w:rPr>
        <w:t xml:space="preserve">Иные правовые акты города Десногорска не должны противоречить Уставу города Десногорска и правовым актам, принятым на местном референдуме. </w:t>
      </w:r>
    </w:p>
    <w:p w:rsidR="00302675" w:rsidRDefault="00302675" w:rsidP="00302675">
      <w:pPr>
        <w:widowControl/>
        <w:numPr>
          <w:ilvl w:val="1"/>
          <w:numId w:val="1"/>
        </w:numPr>
        <w:tabs>
          <w:tab w:val="left" w:pos="993"/>
        </w:tabs>
        <w:spacing w:line="276" w:lineRule="auto"/>
        <w:ind w:firstLine="567"/>
        <w:jc w:val="both"/>
        <w:rPr>
          <w:rFonts w:ascii="Times New Roman" w:hAnsi="Times New Roman"/>
          <w:sz w:val="28"/>
        </w:rPr>
      </w:pPr>
      <w:r>
        <w:rPr>
          <w:rFonts w:ascii="Times New Roman" w:hAnsi="Times New Roman"/>
          <w:sz w:val="28"/>
        </w:rPr>
        <w:t xml:space="preserve">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02675" w:rsidRDefault="00302675" w:rsidP="00302675">
      <w:pPr>
        <w:widowControl/>
        <w:numPr>
          <w:ilvl w:val="1"/>
          <w:numId w:val="1"/>
        </w:numPr>
        <w:tabs>
          <w:tab w:val="left" w:pos="993"/>
        </w:tabs>
        <w:autoSpaceDE w:val="0"/>
        <w:autoSpaceDN w:val="0"/>
        <w:adjustRightInd w:val="0"/>
        <w:spacing w:line="276" w:lineRule="auto"/>
        <w:ind w:firstLine="567"/>
        <w:jc w:val="both"/>
        <w:rPr>
          <w:rFonts w:ascii="Times New Roman" w:hAnsi="Times New Roman"/>
          <w:sz w:val="28"/>
        </w:rPr>
      </w:pPr>
      <w:r>
        <w:rPr>
          <w:rFonts w:ascii="Times New Roman" w:hAnsi="Times New Roman"/>
          <w:sz w:val="28"/>
        </w:rPr>
        <w:t>Муниципальные правовые акты, принятые органами местного самоуправления города Десногорска, обязательны для исполнения всеми находящимися на территории города Десногорска органами управления и самоуправления, предприятиями, учреждениями, организациями, независимо от их подчиненности и форм собственности, общественными объединениями, должностными лицами и гражданами.</w:t>
      </w:r>
    </w:p>
    <w:p w:rsidR="00302675" w:rsidRDefault="00302675" w:rsidP="00302675">
      <w:pPr>
        <w:widowControl/>
        <w:tabs>
          <w:tab w:val="left" w:pos="993"/>
        </w:tabs>
        <w:autoSpaceDE w:val="0"/>
        <w:autoSpaceDN w:val="0"/>
        <w:adjustRightInd w:val="0"/>
        <w:spacing w:line="276" w:lineRule="auto"/>
        <w:ind w:firstLine="851"/>
        <w:jc w:val="both"/>
        <w:rPr>
          <w:rFonts w:ascii="Times New Roman" w:hAnsi="Times New Roman"/>
          <w:sz w:val="28"/>
        </w:rPr>
      </w:pPr>
      <w:r>
        <w:rPr>
          <w:rFonts w:ascii="Times New Roman" w:hAnsi="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w:t>
      </w:r>
    </w:p>
    <w:p w:rsidR="00302675" w:rsidRDefault="00302675" w:rsidP="00302675">
      <w:pPr>
        <w:widowControl/>
        <w:numPr>
          <w:ilvl w:val="1"/>
          <w:numId w:val="1"/>
        </w:numPr>
        <w:tabs>
          <w:tab w:val="left" w:pos="993"/>
        </w:tabs>
        <w:autoSpaceDE w:val="0"/>
        <w:autoSpaceDN w:val="0"/>
        <w:adjustRightInd w:val="0"/>
        <w:spacing w:line="276" w:lineRule="auto"/>
        <w:ind w:firstLine="567"/>
        <w:jc w:val="both"/>
        <w:rPr>
          <w:rFonts w:ascii="Times New Roman" w:hAnsi="Times New Roman"/>
          <w:sz w:val="28"/>
        </w:rPr>
      </w:pPr>
      <w:r>
        <w:rPr>
          <w:rFonts w:ascii="Times New Roman" w:hAnsi="Times New Roman"/>
          <w:sz w:val="28"/>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w:t>
      </w:r>
      <w:r>
        <w:rPr>
          <w:rFonts w:ascii="Times New Roman" w:hAnsi="Times New Roman"/>
          <w:sz w:val="28"/>
        </w:rPr>
        <w:lastRenderedPageBreak/>
        <w:t>Смоленской области, областному законодательству и иным нормативным правовым актам Смоленской области.</w:t>
      </w:r>
    </w:p>
    <w:p w:rsidR="00302675" w:rsidRDefault="00302675" w:rsidP="00302675">
      <w:pPr>
        <w:widowControl/>
        <w:numPr>
          <w:ilvl w:val="1"/>
          <w:numId w:val="1"/>
        </w:numPr>
        <w:tabs>
          <w:tab w:val="left" w:pos="993"/>
        </w:tabs>
        <w:autoSpaceDE w:val="0"/>
        <w:autoSpaceDN w:val="0"/>
        <w:adjustRightInd w:val="0"/>
        <w:spacing w:line="276" w:lineRule="auto"/>
        <w:ind w:firstLine="567"/>
        <w:jc w:val="both"/>
        <w:rPr>
          <w:rFonts w:ascii="Times New Roman" w:hAnsi="Times New Roman"/>
          <w:sz w:val="28"/>
        </w:rPr>
      </w:pPr>
      <w:r>
        <w:rPr>
          <w:rFonts w:ascii="Times New Roman" w:hAnsi="Times New Roman"/>
          <w:sz w:val="28"/>
        </w:rPr>
        <w:t>Муниципальные правовые акты органов местного самоуправления, принятые в соответствии с полномочиями, переданными органами государственной власти и управления, могут быть отменены этими органами в установленном законодательством порядке.</w:t>
      </w:r>
    </w:p>
    <w:p w:rsidR="00302675" w:rsidRDefault="00302675" w:rsidP="00302675">
      <w:pPr>
        <w:widowControl/>
        <w:numPr>
          <w:ilvl w:val="1"/>
          <w:numId w:val="1"/>
        </w:numPr>
        <w:tabs>
          <w:tab w:val="left" w:pos="993"/>
        </w:tabs>
        <w:spacing w:line="276" w:lineRule="auto"/>
        <w:ind w:firstLine="567"/>
        <w:jc w:val="both"/>
        <w:rPr>
          <w:rFonts w:ascii="Times New Roman" w:hAnsi="Times New Roman"/>
          <w:sz w:val="28"/>
        </w:rPr>
      </w:pPr>
      <w:r>
        <w:rPr>
          <w:rFonts w:ascii="Times New Roman" w:hAnsi="Times New Roman"/>
          <w:sz w:val="28"/>
        </w:rPr>
        <w:t xml:space="preserve">Муниципальные правовые акты города Десногорска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публикуются в газете «Десна», размещаются на официальном сайте города Десногорска в сети «Интернет». </w:t>
      </w:r>
    </w:p>
    <w:p w:rsidR="00F374EE" w:rsidRDefault="00F374EE"/>
    <w:p w:rsidR="00302675" w:rsidRPr="00302675" w:rsidRDefault="00302675">
      <w:pPr>
        <w:rPr>
          <w:rFonts w:ascii="Times New Roman" w:hAnsi="Times New Roman"/>
          <w:sz w:val="28"/>
          <w:szCs w:val="28"/>
        </w:rPr>
      </w:pPr>
    </w:p>
    <w:p w:rsidR="00302675" w:rsidRPr="00302675" w:rsidRDefault="00302675" w:rsidP="00302675">
      <w:pPr>
        <w:widowControl/>
        <w:autoSpaceDE w:val="0"/>
        <w:autoSpaceDN w:val="0"/>
        <w:adjustRightInd w:val="0"/>
        <w:spacing w:line="276" w:lineRule="auto"/>
        <w:ind w:firstLine="567"/>
        <w:jc w:val="both"/>
        <w:rPr>
          <w:rFonts w:ascii="Times New Roman" w:eastAsiaTheme="minorHAnsi" w:hAnsi="Times New Roman"/>
          <w:sz w:val="28"/>
          <w:szCs w:val="28"/>
          <w:lang w:eastAsia="en-US"/>
        </w:rPr>
      </w:pPr>
      <w:bookmarkStart w:id="0" w:name="_GoBack"/>
      <w:bookmarkEnd w:id="0"/>
      <w:r w:rsidRPr="00302675">
        <w:rPr>
          <w:rFonts w:ascii="Times New Roman" w:eastAsiaTheme="minorHAnsi" w:hAnsi="Times New Roman"/>
          <w:sz w:val="28"/>
          <w:szCs w:val="28"/>
          <w:lang w:eastAsia="en-US"/>
        </w:rPr>
        <w:t xml:space="preserve">Правила обжалования </w:t>
      </w:r>
      <w:r>
        <w:rPr>
          <w:rFonts w:ascii="Times New Roman" w:eastAsiaTheme="minorHAnsi" w:hAnsi="Times New Roman"/>
          <w:sz w:val="28"/>
          <w:szCs w:val="28"/>
          <w:lang w:eastAsia="en-US"/>
        </w:rPr>
        <w:t>муниципальных правовых</w:t>
      </w:r>
      <w:r w:rsidRPr="00302675">
        <w:rPr>
          <w:rFonts w:ascii="Times New Roman" w:eastAsiaTheme="minorHAnsi" w:hAnsi="Times New Roman"/>
          <w:sz w:val="28"/>
          <w:szCs w:val="28"/>
          <w:lang w:eastAsia="en-US"/>
        </w:rPr>
        <w:t xml:space="preserve"> актов в гражданском судопроизводстве закреплены в </w:t>
      </w:r>
      <w:hyperlink r:id="rId7" w:history="1">
        <w:r w:rsidRPr="00302675">
          <w:rPr>
            <w:rFonts w:ascii="Times New Roman" w:eastAsiaTheme="minorHAnsi" w:hAnsi="Times New Roman"/>
            <w:sz w:val="28"/>
            <w:szCs w:val="28"/>
            <w:lang w:eastAsia="en-US"/>
          </w:rPr>
          <w:t>главе 24</w:t>
        </w:r>
      </w:hyperlink>
      <w:r w:rsidRPr="00302675">
        <w:rPr>
          <w:rFonts w:ascii="Times New Roman" w:eastAsiaTheme="minorHAnsi" w:hAnsi="Times New Roman"/>
          <w:sz w:val="28"/>
          <w:szCs w:val="28"/>
          <w:lang w:eastAsia="en-US"/>
        </w:rPr>
        <w:t xml:space="preserve"> ГПК РФ "Производство по делам о признании недействующими нормативных правовых актов полностью или в части".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8" w:history="1">
        <w:r w:rsidRPr="00302675">
          <w:rPr>
            <w:rFonts w:ascii="Times New Roman" w:eastAsiaTheme="minorHAnsi" w:hAnsi="Times New Roman"/>
            <w:sz w:val="28"/>
            <w:szCs w:val="28"/>
            <w:lang w:eastAsia="en-US"/>
          </w:rPr>
          <w:t>Конституцией</w:t>
        </w:r>
      </w:hyperlink>
      <w:r w:rsidRPr="00302675">
        <w:rPr>
          <w:rFonts w:ascii="Times New Roman" w:eastAsiaTheme="minorHAnsi" w:hAnsi="Times New Roman"/>
          <w:sz w:val="28"/>
          <w:szCs w:val="28"/>
          <w:lang w:eastAsia="en-US"/>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302675">
        <w:rPr>
          <w:rFonts w:ascii="Times New Roman" w:eastAsiaTheme="minorHAnsi" w:hAnsi="Times New Roman"/>
          <w:sz w:val="28"/>
          <w:szCs w:val="28"/>
          <w:lang w:eastAsia="en-US"/>
        </w:rPr>
        <w:t>заявлением</w:t>
      </w:r>
      <w:proofErr w:type="gramEnd"/>
      <w:r w:rsidRPr="00302675">
        <w:rPr>
          <w:rFonts w:ascii="Times New Roman" w:eastAsiaTheme="minorHAnsi" w:hAnsi="Times New Roman"/>
          <w:sz w:val="28"/>
          <w:szCs w:val="28"/>
          <w:lang w:eastAsia="en-US"/>
        </w:rPr>
        <w:t xml:space="preserve"> о признании этого акта противоречащим закону полностью или в части.</w:t>
      </w:r>
    </w:p>
    <w:p w:rsidR="00302675" w:rsidRPr="00302675" w:rsidRDefault="00302675" w:rsidP="00302675">
      <w:pPr>
        <w:widowControl/>
        <w:autoSpaceDE w:val="0"/>
        <w:autoSpaceDN w:val="0"/>
        <w:adjustRightInd w:val="0"/>
        <w:spacing w:line="276" w:lineRule="auto"/>
        <w:ind w:firstLine="540"/>
        <w:jc w:val="both"/>
        <w:rPr>
          <w:rFonts w:ascii="Times New Roman" w:eastAsiaTheme="minorHAnsi" w:hAnsi="Times New Roman"/>
          <w:sz w:val="28"/>
          <w:szCs w:val="28"/>
          <w:lang w:eastAsia="en-US"/>
        </w:rPr>
      </w:pPr>
      <w:proofErr w:type="gramStart"/>
      <w:r w:rsidRPr="00302675">
        <w:rPr>
          <w:rFonts w:ascii="Times New Roman" w:eastAsiaTheme="minorHAnsi" w:hAnsi="Times New Roman"/>
          <w:sz w:val="28"/>
          <w:szCs w:val="28"/>
          <w:lang w:eastAsia="en-US"/>
        </w:rPr>
        <w:t xml:space="preserve">Согласно </w:t>
      </w:r>
      <w:hyperlink r:id="rId9" w:history="1">
        <w:r w:rsidRPr="00302675">
          <w:rPr>
            <w:rFonts w:ascii="Times New Roman" w:eastAsiaTheme="minorHAnsi" w:hAnsi="Times New Roman"/>
            <w:sz w:val="28"/>
            <w:szCs w:val="28"/>
            <w:lang w:eastAsia="en-US"/>
          </w:rPr>
          <w:t>пункту 12</w:t>
        </w:r>
      </w:hyperlink>
      <w:r w:rsidRPr="00302675">
        <w:rPr>
          <w:rFonts w:ascii="Times New Roman" w:eastAsiaTheme="minorHAnsi" w:hAnsi="Times New Roman"/>
          <w:sz w:val="28"/>
          <w:szCs w:val="28"/>
          <w:lang w:eastAsia="en-US"/>
        </w:rPr>
        <w:t xml:space="preserve"> Постановления Пленума Верховного Суда РФ от 20 января 2003 года N 2 под </w:t>
      </w:r>
      <w:r w:rsidRPr="00302675">
        <w:rPr>
          <w:rFonts w:ascii="Times New Roman" w:eastAsiaTheme="minorHAnsi" w:hAnsi="Times New Roman"/>
          <w:b/>
          <w:bCs/>
          <w:sz w:val="28"/>
          <w:szCs w:val="28"/>
          <w:lang w:eastAsia="en-US"/>
        </w:rPr>
        <w:t>нормативным правовым актом</w:t>
      </w:r>
      <w:r w:rsidRPr="00302675">
        <w:rPr>
          <w:rFonts w:ascii="Times New Roman" w:eastAsiaTheme="minorHAnsi" w:hAnsi="Times New Roman"/>
          <w:sz w:val="28"/>
          <w:szCs w:val="28"/>
          <w:lang w:eastAsia="en-US"/>
        </w:rPr>
        <w:t xml:space="preserve"> понимается изданный в установленном порядке акт </w:t>
      </w:r>
      <w:proofErr w:type="spellStart"/>
      <w:r w:rsidRPr="00302675">
        <w:rPr>
          <w:rFonts w:ascii="Times New Roman" w:eastAsiaTheme="minorHAnsi" w:hAnsi="Times New Roman"/>
          <w:sz w:val="28"/>
          <w:szCs w:val="28"/>
          <w:lang w:eastAsia="en-US"/>
        </w:rPr>
        <w:t>управомоченного</w:t>
      </w:r>
      <w:proofErr w:type="spellEnd"/>
      <w:r w:rsidRPr="00302675">
        <w:rPr>
          <w:rFonts w:ascii="Times New Roman" w:eastAsiaTheme="minorHAnsi" w:hAnsi="Times New Roman"/>
          <w:sz w:val="28"/>
          <w:szCs w:val="28"/>
          <w:lang w:eastAsia="en-US"/>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w:t>
      </w:r>
      <w:proofErr w:type="gramEnd"/>
      <w:r w:rsidRPr="00302675">
        <w:rPr>
          <w:rFonts w:ascii="Times New Roman" w:eastAsiaTheme="minorHAnsi" w:hAnsi="Times New Roman"/>
          <w:sz w:val="28"/>
          <w:szCs w:val="28"/>
          <w:lang w:eastAsia="en-US"/>
        </w:rPr>
        <w:t xml:space="preserve">, </w:t>
      </w:r>
      <w:proofErr w:type="gramStart"/>
      <w:r w:rsidRPr="00302675">
        <w:rPr>
          <w:rFonts w:ascii="Times New Roman" w:eastAsiaTheme="minorHAnsi" w:hAnsi="Times New Roman"/>
          <w:sz w:val="28"/>
          <w:szCs w:val="28"/>
          <w:lang w:eastAsia="en-US"/>
        </w:rPr>
        <w:t>предусмотренные</w:t>
      </w:r>
      <w:proofErr w:type="gramEnd"/>
      <w:r w:rsidRPr="00302675">
        <w:rPr>
          <w:rFonts w:ascii="Times New Roman" w:eastAsiaTheme="minorHAnsi" w:hAnsi="Times New Roman"/>
          <w:sz w:val="28"/>
          <w:szCs w:val="28"/>
          <w:lang w:eastAsia="en-US"/>
        </w:rPr>
        <w:t xml:space="preserve"> актом.</w:t>
      </w:r>
    </w:p>
    <w:p w:rsidR="00302675" w:rsidRPr="00302675" w:rsidRDefault="00302675" w:rsidP="00302675">
      <w:pPr>
        <w:widowControl/>
        <w:autoSpaceDE w:val="0"/>
        <w:autoSpaceDN w:val="0"/>
        <w:adjustRightInd w:val="0"/>
        <w:spacing w:line="276" w:lineRule="auto"/>
        <w:ind w:firstLine="540"/>
        <w:jc w:val="both"/>
        <w:rPr>
          <w:rFonts w:ascii="Times New Roman" w:eastAsiaTheme="minorHAnsi" w:hAnsi="Times New Roman"/>
          <w:sz w:val="28"/>
          <w:szCs w:val="28"/>
          <w:lang w:eastAsia="en-US"/>
        </w:rPr>
      </w:pPr>
      <w:r w:rsidRPr="00302675">
        <w:rPr>
          <w:rFonts w:ascii="Times New Roman" w:eastAsiaTheme="minorHAnsi" w:hAnsi="Times New Roman"/>
          <w:sz w:val="28"/>
          <w:szCs w:val="28"/>
          <w:lang w:eastAsia="en-US"/>
        </w:rPr>
        <w:t xml:space="preserve">Не подлежат рассмотрению в суде в порядке, предусмотренном </w:t>
      </w:r>
      <w:hyperlink r:id="rId10" w:history="1">
        <w:r w:rsidRPr="00302675">
          <w:rPr>
            <w:rFonts w:ascii="Times New Roman" w:eastAsiaTheme="minorHAnsi" w:hAnsi="Times New Roman"/>
            <w:sz w:val="28"/>
            <w:szCs w:val="28"/>
            <w:lang w:eastAsia="en-US"/>
          </w:rPr>
          <w:t>ГПК</w:t>
        </w:r>
      </w:hyperlink>
      <w:r w:rsidRPr="00302675">
        <w:rPr>
          <w:rFonts w:ascii="Times New Roman" w:eastAsiaTheme="minorHAnsi" w:hAnsi="Times New Roman"/>
          <w:sz w:val="28"/>
          <w:szCs w:val="28"/>
          <w:lang w:eastAsia="en-US"/>
        </w:rPr>
        <w:t xml:space="preserve">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w:t>
      </w:r>
      <w:hyperlink r:id="rId11" w:history="1">
        <w:proofErr w:type="gramStart"/>
        <w:r w:rsidRPr="00302675">
          <w:rPr>
            <w:rFonts w:ascii="Times New Roman" w:eastAsiaTheme="minorHAnsi" w:hAnsi="Times New Roman"/>
            <w:sz w:val="28"/>
            <w:szCs w:val="28"/>
            <w:lang w:eastAsia="en-US"/>
          </w:rPr>
          <w:t>Часть 2 статьи 125</w:t>
        </w:r>
      </w:hyperlink>
      <w:r w:rsidRPr="00302675">
        <w:rPr>
          <w:rFonts w:ascii="Times New Roman" w:eastAsiaTheme="minorHAnsi" w:hAnsi="Times New Roman"/>
          <w:sz w:val="28"/>
          <w:szCs w:val="28"/>
          <w:lang w:eastAsia="en-US"/>
        </w:rPr>
        <w:t xml:space="preserve"> Конституции Российской Федерации закрепляет, что Конституционный Суд РФ разрешает дела о соответствии Конституции РФ: федеральных законов, нормативных актов Президента РФ, Совета Федерации, Государственной </w:t>
      </w:r>
      <w:r w:rsidRPr="00302675">
        <w:rPr>
          <w:rFonts w:ascii="Times New Roman" w:eastAsiaTheme="minorHAnsi" w:hAnsi="Times New Roman"/>
          <w:sz w:val="28"/>
          <w:szCs w:val="28"/>
          <w:lang w:eastAsia="en-US"/>
        </w:rPr>
        <w:lastRenderedPageBreak/>
        <w:t>Думы, Правительства РФ,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w:t>
      </w:r>
      <w:proofErr w:type="gramEnd"/>
      <w:r w:rsidRPr="00302675">
        <w:rPr>
          <w:rFonts w:ascii="Times New Roman" w:eastAsiaTheme="minorHAnsi" w:hAnsi="Times New Roman"/>
          <w:sz w:val="28"/>
          <w:szCs w:val="28"/>
          <w:lang w:eastAsia="en-US"/>
        </w:rPr>
        <w:t xml:space="preserve">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302675" w:rsidRPr="00302675" w:rsidRDefault="00302675" w:rsidP="00302675">
      <w:pPr>
        <w:widowControl/>
        <w:autoSpaceDE w:val="0"/>
        <w:autoSpaceDN w:val="0"/>
        <w:adjustRightInd w:val="0"/>
        <w:spacing w:line="276" w:lineRule="auto"/>
        <w:ind w:firstLine="540"/>
        <w:jc w:val="both"/>
        <w:rPr>
          <w:rFonts w:ascii="Times New Roman" w:eastAsiaTheme="minorHAnsi" w:hAnsi="Times New Roman"/>
          <w:sz w:val="28"/>
          <w:szCs w:val="28"/>
          <w:lang w:eastAsia="en-US"/>
        </w:rPr>
      </w:pPr>
      <w:r w:rsidRPr="00302675">
        <w:rPr>
          <w:rFonts w:ascii="Times New Roman" w:eastAsiaTheme="minorHAnsi" w:hAnsi="Times New Roman"/>
          <w:sz w:val="28"/>
          <w:szCs w:val="28"/>
          <w:lang w:eastAsia="en-US"/>
        </w:rPr>
        <w:t xml:space="preserve">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w:t>
      </w:r>
      <w:hyperlink r:id="rId12" w:history="1">
        <w:r w:rsidRPr="00302675">
          <w:rPr>
            <w:rFonts w:ascii="Times New Roman" w:eastAsiaTheme="minorHAnsi" w:hAnsi="Times New Roman"/>
            <w:sz w:val="28"/>
            <w:szCs w:val="28"/>
            <w:lang w:eastAsia="en-US"/>
          </w:rPr>
          <w:t>пункту 2 статьи 29</w:t>
        </w:r>
      </w:hyperlink>
      <w:r w:rsidRPr="00302675">
        <w:rPr>
          <w:rFonts w:ascii="Times New Roman" w:eastAsiaTheme="minorHAnsi" w:hAnsi="Times New Roman"/>
          <w:sz w:val="28"/>
          <w:szCs w:val="28"/>
          <w:lang w:eastAsia="en-US"/>
        </w:rPr>
        <w:t xml:space="preserve"> АПК рассматриваются в арбитражном процессе.</w:t>
      </w:r>
    </w:p>
    <w:p w:rsidR="00302675" w:rsidRDefault="00302675"/>
    <w:sectPr w:rsidR="00302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45F72"/>
    <w:multiLevelType w:val="multilevel"/>
    <w:tmpl w:val="66BE027C"/>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800"/>
        </w:tabs>
        <w:ind w:left="1800" w:hanging="720"/>
      </w:pPr>
      <w:rPr>
        <w:rFonts w:hint="default"/>
        <w:i/>
      </w:rPr>
    </w:lvl>
    <w:lvl w:ilvl="3">
      <w:start w:val="1"/>
      <w:numFmt w:val="decimal"/>
      <w:lvlText w:val="%1.%2.%3.%4"/>
      <w:lvlJc w:val="left"/>
      <w:pPr>
        <w:tabs>
          <w:tab w:val="num" w:pos="2700"/>
        </w:tabs>
        <w:ind w:left="2700" w:hanging="1080"/>
      </w:pPr>
      <w:rPr>
        <w:rFonts w:hint="default"/>
        <w:i/>
      </w:rPr>
    </w:lvl>
    <w:lvl w:ilvl="4">
      <w:start w:val="1"/>
      <w:numFmt w:val="decimal"/>
      <w:lvlText w:val="%1.%2.%3.%4.%5"/>
      <w:lvlJc w:val="left"/>
      <w:pPr>
        <w:tabs>
          <w:tab w:val="num" w:pos="3240"/>
        </w:tabs>
        <w:ind w:left="3240" w:hanging="1080"/>
      </w:pPr>
      <w:rPr>
        <w:rFonts w:hint="default"/>
        <w:i/>
      </w:rPr>
    </w:lvl>
    <w:lvl w:ilvl="5">
      <w:start w:val="1"/>
      <w:numFmt w:val="decimal"/>
      <w:lvlText w:val="%1.%2.%3.%4.%5.%6"/>
      <w:lvlJc w:val="left"/>
      <w:pPr>
        <w:tabs>
          <w:tab w:val="num" w:pos="4140"/>
        </w:tabs>
        <w:ind w:left="4140" w:hanging="1440"/>
      </w:pPr>
      <w:rPr>
        <w:rFonts w:hint="default"/>
        <w:i/>
      </w:rPr>
    </w:lvl>
    <w:lvl w:ilvl="6">
      <w:start w:val="1"/>
      <w:numFmt w:val="decimal"/>
      <w:lvlText w:val="%1.%2.%3.%4.%5.%6.%7"/>
      <w:lvlJc w:val="left"/>
      <w:pPr>
        <w:tabs>
          <w:tab w:val="num" w:pos="4680"/>
        </w:tabs>
        <w:ind w:left="4680" w:hanging="1440"/>
      </w:pPr>
      <w:rPr>
        <w:rFonts w:hint="default"/>
        <w:i/>
      </w:rPr>
    </w:lvl>
    <w:lvl w:ilvl="7">
      <w:start w:val="1"/>
      <w:numFmt w:val="decimal"/>
      <w:lvlText w:val="%1.%2.%3.%4.%5.%6.%7.%8"/>
      <w:lvlJc w:val="left"/>
      <w:pPr>
        <w:tabs>
          <w:tab w:val="num" w:pos="5580"/>
        </w:tabs>
        <w:ind w:left="5580" w:hanging="1800"/>
      </w:pPr>
      <w:rPr>
        <w:rFonts w:hint="default"/>
        <w:i/>
      </w:rPr>
    </w:lvl>
    <w:lvl w:ilvl="8">
      <w:start w:val="1"/>
      <w:numFmt w:val="decimal"/>
      <w:lvlText w:val="%1.%2.%3.%4.%5.%6.%7.%8.%9"/>
      <w:lvlJc w:val="left"/>
      <w:pPr>
        <w:tabs>
          <w:tab w:val="num" w:pos="6480"/>
        </w:tabs>
        <w:ind w:left="6480" w:hanging="2160"/>
      </w:pPr>
      <w:rPr>
        <w:rFonts w:hint="default"/>
        <w:i/>
      </w:rPr>
    </w:lvl>
  </w:abstractNum>
  <w:abstractNum w:abstractNumId="1">
    <w:nsid w:val="4FB35522"/>
    <w:multiLevelType w:val="hybridMultilevel"/>
    <w:tmpl w:val="6D92DFB8"/>
    <w:lvl w:ilvl="0" w:tplc="FFFFFFFF">
      <w:start w:val="1"/>
      <w:numFmt w:val="decimal"/>
      <w:lvlText w:val="%1)"/>
      <w:lvlJc w:val="left"/>
      <w:pPr>
        <w:tabs>
          <w:tab w:val="num" w:pos="851"/>
        </w:tabs>
        <w:ind w:left="567" w:firstLine="284"/>
      </w:pPr>
      <w:rPr>
        <w:b w:val="0"/>
        <w:i w:val="0"/>
      </w:rPr>
    </w:lvl>
    <w:lvl w:ilvl="1" w:tplc="FFFFFFFF">
      <w:start w:val="2"/>
      <w:numFmt w:val="decimal"/>
      <w:lvlText w:val="%2."/>
      <w:lvlJc w:val="left"/>
      <w:pPr>
        <w:tabs>
          <w:tab w:val="num" w:pos="567"/>
        </w:tabs>
        <w:ind w:left="0" w:firstLine="284"/>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51"/>
    <w:rsid w:val="00302675"/>
    <w:rsid w:val="00596451"/>
    <w:rsid w:val="00D742F8"/>
    <w:rsid w:val="00F3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75"/>
    <w:pPr>
      <w:widowControl w:val="0"/>
      <w:spacing w:after="0" w:line="240" w:lineRule="auto"/>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02675"/>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75"/>
    <w:pPr>
      <w:widowControl w:val="0"/>
      <w:spacing w:after="0" w:line="240" w:lineRule="auto"/>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02675"/>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AB40ED2194D1DFC1A079EE3FA2227849C7BE1D7C93EC9CBC9C932ABC30F4B8EDEF27F35D5q8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FAB40ED2194D1DFC1A079EE3FA22278E9C75E3DF9434C192C5CB35A49C184CC7D2F37F34D38Dq4zCH" TargetMode="External"/><Relationship Id="rId12" Type="http://schemas.openxmlformats.org/officeDocument/2006/relationships/hyperlink" Target="consultantplus://offline/ref=90FAB40ED2194D1DFC1A079EE3FA22278E9D7BE7DD9434C192C5CB35A49C184CC7D2F37F35D38Fq4z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AB40ED2194D1DFC1A079EE3FA2227849C7BE1D7C93EC9CBC9C932ABC30F4B8EDEF27F30D6q8z0H" TargetMode="External"/><Relationship Id="rId5" Type="http://schemas.openxmlformats.org/officeDocument/2006/relationships/settings" Target="settings.xml"/><Relationship Id="rId10" Type="http://schemas.openxmlformats.org/officeDocument/2006/relationships/hyperlink" Target="consultantplus://offline/ref=90FAB40ED2194D1DFC1A079EE3FA22278E9C75E3DF9434C192C5CB35A49C184CC7D2F37F34D38Dq4zCH" TargetMode="External"/><Relationship Id="rId4" Type="http://schemas.microsoft.com/office/2007/relationships/stylesWithEffects" Target="stylesWithEffects.xml"/><Relationship Id="rId9" Type="http://schemas.openxmlformats.org/officeDocument/2006/relationships/hyperlink" Target="consultantplus://offline/ref=90FAB40ED2194D1DFC1A079EE3FA222782947AEDD99434C192C5CB35A49C184CC7D2F37F35D28Cq4z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D0C3-3628-4B04-848A-D60D3BCC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YORIST</dc:creator>
  <cp:keywords/>
  <dc:description/>
  <cp:lastModifiedBy>YORIST</cp:lastModifiedBy>
  <cp:revision>2</cp:revision>
  <dcterms:created xsi:type="dcterms:W3CDTF">2013-01-09T07:46:00Z</dcterms:created>
  <dcterms:modified xsi:type="dcterms:W3CDTF">2013-01-09T07:55:00Z</dcterms:modified>
</cp:coreProperties>
</file>