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ind w:firstLine="708"/>
        <w:jc w:val="both"/>
        <w:rPr>
          <w:sz w:val="27"/>
        </w:rPr>
      </w:pPr>
      <w:r>
        <w:rPr>
          <w:sz w:val="27"/>
        </w:rPr>
        <w:t xml:space="preserve">Департамент Смоленской области по энергетике, </w:t>
      </w:r>
      <w:r>
        <w:rPr>
          <w:sz w:val="27"/>
        </w:rPr>
        <w:t>энергоэффективности</w:t>
      </w:r>
      <w:r>
        <w:rPr>
          <w:sz w:val="27"/>
        </w:rPr>
        <w:t>, тарифной политике (далее – Департамент)</w:t>
      </w:r>
      <w:r>
        <w:rPr>
          <w:sz w:val="27"/>
        </w:rPr>
        <w:t xml:space="preserve"> во исполнение пункта 1 протокола</w:t>
      </w:r>
      <w:r>
        <w:rPr>
          <w:sz w:val="27"/>
        </w:rPr>
        <w:t xml:space="preserve"> от 25.05.2023</w:t>
      </w:r>
      <w:r>
        <w:rPr>
          <w:sz w:val="27"/>
        </w:rPr>
        <w:t xml:space="preserve"> № 13 заседания Совета по предоставлению земельных участков гражданам, имеющих трех и более детей</w:t>
      </w:r>
      <w:r>
        <w:rPr>
          <w:sz w:val="27"/>
        </w:rPr>
        <w:t>,</w:t>
      </w:r>
      <w:r>
        <w:rPr>
          <w:sz w:val="27"/>
        </w:rPr>
        <w:t xml:space="preserve"> </w:t>
      </w:r>
      <w:r>
        <w:rPr>
          <w:sz w:val="27"/>
        </w:rPr>
        <w:t xml:space="preserve">информирует о порядке технологического присоединения </w:t>
      </w:r>
      <w:r>
        <w:rPr>
          <w:sz w:val="27"/>
        </w:rPr>
        <w:t>энергопринимающих</w:t>
      </w:r>
      <w:r>
        <w:rPr>
          <w:sz w:val="27"/>
        </w:rPr>
        <w:t xml:space="preserve"> устройств объектов капитального строительства, предполагаемых к размещению на</w:t>
      </w:r>
      <w:r>
        <w:rPr>
          <w:sz w:val="27"/>
        </w:rPr>
        <w:t xml:space="preserve"> указанных земельных участках</w:t>
      </w:r>
      <w:r>
        <w:rPr>
          <w:sz w:val="27"/>
        </w:rPr>
        <w:t>.</w:t>
      </w:r>
    </w:p>
    <w:p w14:paraId="04000000">
      <w:pPr>
        <w:ind w:firstLine="708"/>
        <w:jc w:val="both"/>
        <w:rPr>
          <w:sz w:val="27"/>
        </w:rPr>
      </w:pPr>
      <w:r>
        <w:rPr>
          <w:sz w:val="27"/>
        </w:rPr>
        <w:t xml:space="preserve">Порядок и особенности технологического присоединения </w:t>
      </w:r>
      <w:r>
        <w:rPr>
          <w:sz w:val="27"/>
        </w:rPr>
        <w:t>энергопринимающих</w:t>
      </w:r>
      <w:r>
        <w:rPr>
          <w:sz w:val="27"/>
        </w:rPr>
        <w:t xml:space="preserve"> устройств к электрическим сетям установлен Правилами технологического присоединения </w:t>
      </w:r>
      <w:r>
        <w:rPr>
          <w:sz w:val="27"/>
        </w:rPr>
        <w:t>энергопринимающих</w:t>
      </w:r>
      <w:r>
        <w:rPr>
          <w:sz w:val="27"/>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 861 (далее – Правила).</w:t>
      </w:r>
    </w:p>
    <w:p w14:paraId="05000000">
      <w:pPr>
        <w:ind w:firstLine="708"/>
        <w:jc w:val="both"/>
        <w:rPr>
          <w:sz w:val="27"/>
        </w:rPr>
      </w:pPr>
      <w:r>
        <w:rPr>
          <w:sz w:val="27"/>
        </w:rPr>
        <w:t>Пунктом 7 Правил установлен следующий порядок технологического присоедине</w:t>
      </w:r>
      <w:r>
        <w:rPr>
          <w:sz w:val="27"/>
        </w:rPr>
        <w:t>н</w:t>
      </w:r>
      <w:r>
        <w:rPr>
          <w:sz w:val="27"/>
        </w:rPr>
        <w:t>ия:</w:t>
      </w:r>
    </w:p>
    <w:p w14:paraId="06000000">
      <w:pPr>
        <w:ind w:firstLine="708"/>
        <w:jc w:val="both"/>
        <w:rPr>
          <w:sz w:val="27"/>
        </w:rPr>
      </w:pPr>
      <w:r>
        <w:rPr>
          <w:sz w:val="27"/>
        </w:rPr>
        <w:t>- подача заявки</w:t>
      </w:r>
      <w:r>
        <w:rPr>
          <w:sz w:val="27"/>
        </w:rPr>
        <w:t xml:space="preserve"> </w:t>
      </w:r>
      <w:r>
        <w:rPr>
          <w:sz w:val="27"/>
        </w:rPr>
        <w:t>лицом, которое имеет намерение осуществить технологическое присоединение</w:t>
      </w:r>
      <w:r>
        <w:rPr>
          <w:sz w:val="27"/>
        </w:rPr>
        <w:t xml:space="preserve"> (посредством личного кабинета потребителя на портале электросетевых услуг портал-</w:t>
      </w:r>
      <w:r>
        <w:rPr>
          <w:sz w:val="27"/>
        </w:rPr>
        <w:t>тп</w:t>
      </w:r>
      <w:r>
        <w:rPr>
          <w:sz w:val="27"/>
        </w:rPr>
        <w:t>.р</w:t>
      </w:r>
      <w:r>
        <w:rPr>
          <w:sz w:val="27"/>
        </w:rPr>
        <w:t>ф</w:t>
      </w:r>
      <w:r>
        <w:rPr>
          <w:sz w:val="27"/>
        </w:rPr>
        <w:t>)</w:t>
      </w:r>
      <w:r>
        <w:rPr>
          <w:sz w:val="27"/>
        </w:rPr>
        <w:t>;</w:t>
      </w:r>
    </w:p>
    <w:p w14:paraId="07000000">
      <w:pPr>
        <w:ind w:firstLine="708"/>
        <w:jc w:val="both"/>
        <w:rPr>
          <w:sz w:val="27"/>
        </w:rPr>
      </w:pPr>
      <w:r>
        <w:rPr>
          <w:sz w:val="27"/>
        </w:rPr>
        <w:t>- заключение договора;</w:t>
      </w:r>
    </w:p>
    <w:p w14:paraId="08000000">
      <w:pPr>
        <w:ind w:firstLine="708"/>
        <w:jc w:val="both"/>
        <w:rPr>
          <w:sz w:val="27"/>
        </w:rPr>
      </w:pPr>
      <w:r>
        <w:rPr>
          <w:sz w:val="27"/>
        </w:rPr>
        <w:t>- осуществление сетевой организацией фактического присоединения объектов заявителя к электрическим сетям и фактической подачи напряжения и мощности;</w:t>
      </w:r>
    </w:p>
    <w:p w14:paraId="09000000">
      <w:pPr>
        <w:ind w:firstLine="708"/>
        <w:jc w:val="both"/>
        <w:rPr>
          <w:sz w:val="27"/>
        </w:rPr>
      </w:pPr>
      <w:r>
        <w:rPr>
          <w:sz w:val="27"/>
        </w:rPr>
        <w:t xml:space="preserve">- составление </w:t>
      </w:r>
      <w:r>
        <w:rPr>
          <w:sz w:val="27"/>
        </w:rPr>
        <w:t>уведомлени</w:t>
      </w:r>
      <w:r>
        <w:rPr>
          <w:sz w:val="27"/>
        </w:rPr>
        <w:t>я</w:t>
      </w:r>
      <w:r>
        <w:rPr>
          <w:sz w:val="27"/>
        </w:rPr>
        <w:t xml:space="preserve"> об обеспечении сетевой организацией возможности присоединения к электрическим сетям</w:t>
      </w:r>
      <w:r>
        <w:rPr>
          <w:sz w:val="27"/>
        </w:rPr>
        <w:t>.</w:t>
      </w:r>
    </w:p>
    <w:p w14:paraId="0A000000">
      <w:pPr>
        <w:ind w:firstLine="708"/>
        <w:jc w:val="both"/>
        <w:rPr>
          <w:sz w:val="27"/>
        </w:rPr>
      </w:pPr>
      <w:r>
        <w:rPr>
          <w:sz w:val="27"/>
        </w:rPr>
        <w:t>Договор между сетевой организацией и заявителем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14:paraId="0B000000">
      <w:pPr>
        <w:ind w:firstLine="708"/>
        <w:jc w:val="both"/>
        <w:rPr>
          <w:sz w:val="27"/>
        </w:rPr>
      </w:pPr>
      <w:r>
        <w:rPr>
          <w:sz w:val="27"/>
        </w:rPr>
        <w:t>Согласно постановлению Департамента от 17.11.2022 № 82 «Об установлении льготных ставок за единицу запрашиваемой максимальной мощности за  технологическое присоединение к электрическим сетям территориальных сетевых организаций на территории Смоленской области на 2023 год» в отношении льготных категорий заявителей - многодетных семей установлена сниженная ставка платы на 2023 год за технологическое присоединение к элект</w:t>
      </w:r>
      <w:r>
        <w:rPr>
          <w:sz w:val="27"/>
        </w:rPr>
        <w:t>рическим сетям в размере 1 064 </w:t>
      </w:r>
      <w:r>
        <w:rPr>
          <w:sz w:val="27"/>
        </w:rPr>
        <w:t>руб. (с НДС) за кВт</w:t>
      </w:r>
      <w:r>
        <w:rPr>
          <w:sz w:val="27"/>
        </w:rPr>
        <w:t xml:space="preserve"> </w:t>
      </w:r>
      <w:r>
        <w:rPr>
          <w:sz w:val="27"/>
        </w:rPr>
        <w:t xml:space="preserve">запрашиваемой максимальной мощности при технологическом присоединении не чаще, чем 1 раз в 3 года, </w:t>
      </w:r>
      <w:r>
        <w:rPr>
          <w:sz w:val="27"/>
        </w:rPr>
        <w:t>энергопринимающих</w:t>
      </w:r>
      <w:r>
        <w:rPr>
          <w:sz w:val="27"/>
        </w:rPr>
        <w:t xml:space="preserve"> устройств максимальной мощностью не более 15 кВт по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0,4 </w:t>
      </w:r>
      <w:r>
        <w:rPr>
          <w:sz w:val="27"/>
        </w:rPr>
        <w:t>кВ</w:t>
      </w:r>
      <w:r>
        <w:rPr>
          <w:sz w:val="27"/>
        </w:rPr>
        <w:t xml:space="preserve"> и ниже составляет не более 300 метров в городах и поселках городского типа</w:t>
      </w:r>
      <w:r>
        <w:rPr>
          <w:sz w:val="27"/>
        </w:rPr>
        <w:t xml:space="preserve"> и не более 500 метров в сельской местности. </w:t>
      </w:r>
    </w:p>
    <w:p w14:paraId="0C000000">
      <w:pPr>
        <w:ind w:firstLine="708"/>
        <w:jc w:val="both"/>
        <w:rPr>
          <w:sz w:val="27"/>
        </w:rPr>
      </w:pPr>
      <w:r>
        <w:rPr>
          <w:sz w:val="27"/>
        </w:rPr>
        <w:t>В случае несоблюдения указанных условий плата за технологическое присоединение рассчитывается сетевой организацией исходя из необходимых объемов строительства по установленным</w:t>
      </w:r>
      <w:r>
        <w:rPr>
          <w:sz w:val="27"/>
        </w:rPr>
        <w:t xml:space="preserve"> стандартизированным тарифным</w:t>
      </w:r>
      <w:r>
        <w:rPr>
          <w:sz w:val="27"/>
        </w:rPr>
        <w:t xml:space="preserve"> ставкам</w:t>
      </w:r>
      <w:r>
        <w:rPr>
          <w:sz w:val="27"/>
        </w:rPr>
        <w:t xml:space="preserve"> (постановление Департамента от </w:t>
      </w:r>
      <w:r>
        <w:rPr>
          <w:sz w:val="27"/>
        </w:rPr>
        <w:t>28.11.2022 № 318 «Об установлении стандартизированных тарифных ставок за технологическое присоединение к электрическим сетям территориальных сетевых организаций на территории Смоленской области на 2023 год»).</w:t>
      </w:r>
    </w:p>
    <w:p w14:paraId="0D000000">
      <w:pPr>
        <w:ind w:firstLine="708"/>
        <w:jc w:val="both"/>
        <w:rPr>
          <w:sz w:val="27"/>
        </w:rPr>
      </w:pPr>
      <w:r>
        <w:rPr>
          <w:sz w:val="27"/>
        </w:rPr>
        <w:t xml:space="preserve">Таким образом, при последовательном технологическом присоединении объектов капитального строительства, начиная с ближайших к существующим объектам электросетевого хозяйства земельных участков, строительство будет осуществляться за счет средств сетевой организации. Плата за технологическое присоединение для многодетных семей в 2023 году составит 5-16 тыс. руб. (с НДС) в зависимости от присоединяемой мощности </w:t>
      </w:r>
      <w:r>
        <w:rPr>
          <w:sz w:val="27"/>
        </w:rPr>
        <w:t>энергопринимающих</w:t>
      </w:r>
      <w:r>
        <w:rPr>
          <w:sz w:val="27"/>
        </w:rPr>
        <w:t xml:space="preserve"> устройств, в дальнейшем ежегодно будет индексироваться с учетом совокупности индексов цен производителей в соответствии с прогнозом Министерства экономического развития Российской Федерации. За указанную плату заявителю помимо оформления договорных отношений, проектирования и строительства объектов электросетевого хозяйства также будет установлен интеллектуальный при</w:t>
      </w:r>
      <w:r>
        <w:rPr>
          <w:sz w:val="27"/>
        </w:rPr>
        <w:t>бор учета электрической энергии</w:t>
      </w:r>
      <w:r>
        <w:rPr>
          <w:sz w:val="27"/>
        </w:rPr>
        <w:t>.</w:t>
      </w:r>
    </w:p>
    <w:p w14:paraId="0E000000">
      <w:pPr>
        <w:ind w:firstLine="708"/>
        <w:jc w:val="both"/>
        <w:rPr>
          <w:sz w:val="27"/>
        </w:rPr>
      </w:pPr>
      <w:r>
        <w:rPr>
          <w:sz w:val="27"/>
        </w:rPr>
        <w:t xml:space="preserve">Согласно пункту 3 Правил </w:t>
      </w:r>
      <w:r>
        <w:rPr>
          <w:sz w:val="27"/>
        </w:rPr>
        <w:t xml:space="preserve">при присоединении </w:t>
      </w:r>
      <w:r>
        <w:rPr>
          <w:sz w:val="27"/>
        </w:rPr>
        <w:t>энергопринимающих</w:t>
      </w:r>
      <w:r>
        <w:rPr>
          <w:sz w:val="27"/>
        </w:rPr>
        <w:t xml:space="preserve"> устройств физических лиц максимальной мощностью до 15 кВт включительно (с учетом ранее присоединенных в данной точке присоединения </w:t>
      </w:r>
      <w:r>
        <w:rPr>
          <w:sz w:val="27"/>
        </w:rPr>
        <w:t>энергопринимающих</w:t>
      </w:r>
      <w:r>
        <w:rPr>
          <w:sz w:val="27"/>
        </w:rPr>
        <w:t xml:space="preserve"> устройств) для целей, не связанных с осуществлением предпринимательской деятельности, сетевая организация обязана выполнить в отношении заявителя мероприятия по технологическому присоединению </w:t>
      </w:r>
      <w:r>
        <w:rPr>
          <w:sz w:val="27"/>
        </w:rPr>
        <w:t>энергопринимающих</w:t>
      </w:r>
      <w:r>
        <w:rPr>
          <w:sz w:val="27"/>
        </w:rPr>
        <w:t xml:space="preserve"> устройств независимо от наличия или отсутствия технической возможности.</w:t>
      </w:r>
    </w:p>
    <w:p w14:paraId="0F000000">
      <w:pPr>
        <w:pStyle w:val="Style_2"/>
        <w:rPr>
          <w:sz w:val="20"/>
        </w:rPr>
      </w:pPr>
    </w:p>
    <w:sectPr>
      <w:headerReference r:id="rId1" w:type="default"/>
      <w:pgSz w:h="16838" w:w="11906"/>
      <w:pgMar w:bottom="1134" w:footer="709" w:gutter="0" w:header="709"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rPr>
      <w:sz w:val="24"/>
    </w:rPr>
  </w:style>
  <w:style w:default="1" w:styleId="Style_3_ch" w:type="character">
    <w:name w:val="Normal"/>
    <w:link w:val="Style_3"/>
    <w:rPr>
      <w:sz w:val="24"/>
    </w:rPr>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Strong"/>
    <w:link w:val="Style_8_ch"/>
    <w:rPr>
      <w:b w:val="1"/>
    </w:rPr>
  </w:style>
  <w:style w:styleId="Style_8_ch" w:type="character">
    <w:name w:val="Strong"/>
    <w:link w:val="Style_8"/>
    <w:rPr>
      <w:b w:val="1"/>
    </w:rPr>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2" w:type="paragraph">
    <w:name w:val="footer"/>
    <w:basedOn w:val="Style_3"/>
    <w:link w:val="Style_2_ch"/>
    <w:pPr>
      <w:tabs>
        <w:tab w:leader="none" w:pos="4677" w:val="center"/>
        <w:tab w:leader="none" w:pos="9355" w:val="right"/>
      </w:tabs>
      <w:ind/>
    </w:pPr>
  </w:style>
  <w:style w:styleId="Style_2_ch" w:type="character">
    <w:name w:val="footer"/>
    <w:basedOn w:val="Style_3_ch"/>
    <w:link w:val="Style_2"/>
  </w:style>
  <w:style w:styleId="Style_10" w:type="paragraph">
    <w:name w:val="toc 3"/>
    <w:next w:val="Style_3"/>
    <w:link w:val="Style_10_ch"/>
    <w:uiPriority w:val="39"/>
    <w:pPr>
      <w:ind w:firstLine="0" w:left="400"/>
    </w:pPr>
  </w:style>
  <w:style w:styleId="Style_10_ch" w:type="character">
    <w:name w:val="toc 3"/>
    <w:link w:val="Style_10"/>
  </w:style>
  <w:style w:styleId="Style_11" w:type="paragraph">
    <w:name w:val="heading 5"/>
    <w:next w:val="Style_3"/>
    <w:link w:val="Style_11_ch"/>
    <w:uiPriority w:val="9"/>
    <w:qFormat/>
    <w:pPr>
      <w:spacing w:after="120" w:before="120"/>
      <w:ind/>
      <w:outlineLvl w:val="4"/>
    </w:pPr>
    <w:rPr>
      <w:rFonts w:ascii="XO Thames" w:hAnsi="XO Thames"/>
      <w:b w:val="1"/>
      <w:color w:val="000000"/>
      <w:sz w:val="22"/>
    </w:rPr>
  </w:style>
  <w:style w:styleId="Style_11_ch" w:type="character">
    <w:name w:val="heading 5"/>
    <w:link w:val="Style_11"/>
    <w:rPr>
      <w:rFonts w:ascii="XO Thames" w:hAnsi="XO Thames"/>
      <w:b w:val="1"/>
      <w:color w:val="000000"/>
      <w:sz w:val="22"/>
    </w:rPr>
  </w:style>
  <w:style w:styleId="Style_12" w:type="paragraph">
    <w:name w:val="heading 1"/>
    <w:next w:val="Style_3"/>
    <w:link w:val="Style_12_ch"/>
    <w:uiPriority w:val="9"/>
    <w:qFormat/>
    <w:pPr>
      <w:spacing w:after="120" w:before="120"/>
      <w:ind/>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 w:type="paragraph">
    <w:name w:val="header"/>
    <w:basedOn w:val="Style_3"/>
    <w:link w:val="Style_1_ch"/>
    <w:pPr>
      <w:tabs>
        <w:tab w:leader="none" w:pos="4677" w:val="center"/>
        <w:tab w:leader="none" w:pos="9355" w:val="right"/>
      </w:tabs>
      <w:ind/>
    </w:pPr>
  </w:style>
  <w:style w:styleId="Style_1_ch" w:type="character">
    <w:name w:val="header"/>
    <w:basedOn w:val="Style_3_ch"/>
    <w:link w:val="Style_1"/>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pPr>
  </w:style>
  <w:style w:styleId="Style_17_ch" w:type="character">
    <w:name w:val="toc 9"/>
    <w:link w:val="Style_17"/>
  </w:style>
  <w:style w:styleId="Style_18" w:type="paragraph">
    <w:name w:val="toc 8"/>
    <w:next w:val="Style_3"/>
    <w:link w:val="Style_18_ch"/>
    <w:uiPriority w:val="39"/>
    <w:pPr>
      <w:ind w:firstLine="0" w:left="1400"/>
    </w:pPr>
  </w:style>
  <w:style w:styleId="Style_18_ch" w:type="character">
    <w:name w:val="toc 8"/>
    <w:link w:val="Style_18"/>
  </w:style>
  <w:style w:styleId="Style_19" w:type="paragraph">
    <w:name w:val="Default Paragraph Font"/>
    <w:link w:val="Style_19_ch"/>
  </w:style>
  <w:style w:styleId="Style_19_ch" w:type="character">
    <w:name w:val="Default Paragraph Font"/>
    <w:link w:val="Style_19"/>
  </w:style>
  <w:style w:styleId="Style_20" w:type="paragraph">
    <w:name w:val="toc 5"/>
    <w:next w:val="Style_3"/>
    <w:link w:val="Style_20_ch"/>
    <w:uiPriority w:val="39"/>
    <w:pPr>
      <w:ind w:firstLine="0" w:left="800"/>
    </w:pPr>
  </w:style>
  <w:style w:styleId="Style_20_ch" w:type="character">
    <w:name w:val="toc 5"/>
    <w:link w:val="Style_20"/>
  </w:style>
  <w:style w:styleId="Style_21" w:type="paragraph">
    <w:name w:val="Subtitle"/>
    <w:next w:val="Style_3"/>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Balloon Text"/>
    <w:basedOn w:val="Style_3"/>
    <w:link w:val="Style_22_ch"/>
    <w:rPr>
      <w:rFonts w:ascii="Tahoma" w:hAnsi="Tahoma"/>
      <w:sz w:val="16"/>
    </w:rPr>
  </w:style>
  <w:style w:styleId="Style_22_ch" w:type="character">
    <w:name w:val="Balloon Text"/>
    <w:basedOn w:val="Style_3_ch"/>
    <w:link w:val="Style_22"/>
    <w:rPr>
      <w:rFonts w:ascii="Tahoma" w:hAnsi="Tahoma"/>
      <w:sz w:val="16"/>
    </w:rPr>
  </w:style>
  <w:style w:styleId="Style_23" w:type="paragraph">
    <w:name w:val="toc 10"/>
    <w:next w:val="Style_3"/>
    <w:link w:val="Style_23_ch"/>
    <w:uiPriority w:val="39"/>
    <w:pPr>
      <w:ind w:firstLine="0" w:left="1800"/>
    </w:pPr>
  </w:style>
  <w:style w:styleId="Style_23_ch" w:type="character">
    <w:name w:val="toc 10"/>
    <w:link w:val="Style_23"/>
  </w:style>
  <w:style w:styleId="Style_24" w:type="paragraph">
    <w:name w:val="Title"/>
    <w:next w:val="Style_3"/>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3"/>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3"/>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2023-06-26T13:03:12Z</dcterms:modified>
</cp:coreProperties>
</file>