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857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</w:t>
                            </w:r>
                            <w:r>
                              <w:t xml:space="preserve">Р</w:t>
                            </w:r>
                            <w:r>
                              <w:t xml:space="preserve">СК»</w:t>
                            </w:r>
                            <w:r/>
                          </w:p>
                          <w:p>
                            <w:pPr>
                              <w:pStyle w:val="860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58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56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5pt;mso-position-vertical:absolute;width:447.10pt;height:63.5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857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</w:t>
                      </w:r>
                      <w:r>
                        <w:t xml:space="preserve">Р</w:t>
                      </w:r>
                      <w:r>
                        <w:t xml:space="preserve">СК»</w:t>
                      </w:r>
                      <w:r/>
                    </w:p>
                    <w:p>
                      <w:pPr>
                        <w:pStyle w:val="860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58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pStyle w:val="85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856"/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56"/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56"/>
                      </w:pPr>
                      <w:r/>
                      <w:r/>
                    </w:p>
                    <w:p>
                      <w:pPr>
                        <w:pStyle w:val="85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48"/>
        </w:rPr>
      </w:r>
      <w:r>
        <w:rPr>
          <w:b/>
          <w:sz w:val="48"/>
        </w:rPr>
      </w:r>
    </w:p>
    <w:p>
      <w:pPr>
        <w:pStyle w:val="859"/>
        <w:tabs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</w:r>
      <w:r>
        <w:rPr>
          <w:sz w:val="32"/>
        </w:rPr>
      </w:r>
    </w:p>
    <w:p>
      <w:pPr>
        <w:ind w:left="0" w:right="336" w:firstLine="0"/>
        <w:jc w:val="center"/>
        <w:spacing w:after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</w:r>
      <w:r>
        <w:rPr>
          <w:b/>
          <w:bCs/>
          <w:sz w:val="32"/>
        </w:rPr>
        <w:t xml:space="preserve">П О С Т А Н О В Л Е Н И Е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83"/>
        <w:ind w:left="0" w:right="33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ind w:left="0" w:right="33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т</w:t>
      </w:r>
      <w:r>
        <w:rPr>
          <w:color w:val="000000" w:themeColor="text1"/>
          <w:sz w:val="24"/>
          <w:szCs w:val="24"/>
        </w:rPr>
        <w:t xml:space="preserve"> 16.02.2026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126</w:t>
      </w:r>
      <w:r>
        <w:rPr>
          <w:color w:val="000000" w:themeColor="text1"/>
          <w:sz w:val="24"/>
          <w:szCs w:val="24"/>
        </w:rPr>
      </w:r>
    </w:p>
    <w:p>
      <w:pPr>
        <w:pStyle w:val="856"/>
        <w:ind w:left="0" w:right="33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tbl>
      <w:tblPr>
        <w:tblW w:w="517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8" w:type="dxa"/>
            <w:vAlign w:val="top"/>
            <w:textDirection w:val="lrTb"/>
            <w:noWrap w:val="false"/>
          </w:tcPr>
          <w:tbl>
            <w:tblPr>
              <w:tblW w:w="4927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27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27" w:type="dxa"/>
                  <w:vAlign w:val="top"/>
                  <w:textDirection w:val="lrTb"/>
                  <w:noWrap w:val="false"/>
                </w:tcPr>
                <w:p>
                  <w:pPr>
                    <w:ind w:left="0" w:right="36" w:firstLine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 утверждении Положения об условиях и порядке стимулирования деятельности народных дружинников на территории муниципального образования «город Десногорск» Смоленской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856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56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8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В соответствии с Федеральным </w:t>
      </w:r>
      <w:hyperlink r:id="rId11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от 02.04.2014 № 44-ФЗ "Об участии граждан в охране общественного порядка", областным </w:t>
      </w:r>
      <w:hyperlink r:id="rId12" w:tooltip="Закон Смоленской области от 30.04.2015 N 33-з (ред. от 27.11.2025) &quot;О регулировании отдельных вопросов, связанных с деятельностью народных дружин на территории Смоленской области&quot; (принят Смоленской областной Думой 30.04.2015) (вместе с &quot;Образцом удостоверения народного дружинника&quot;, &quot;Порядком выдачи удостоверения народного дружинника&quot;, &quot;Образцом отличительной символики народного дружинника&quot;) {КонсультантПлюс}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от 30.04.2015 № 33-з "О регулировании отдельных вопросов, связанных с деятельностью народных дружин на территории Смоленской области", </w:t>
      </w:r>
      <w:hyperlink r:id="rId13" w:tooltip="Постановление Администрации города Смоленска от 19.10.2017 N 2884-адм (ред. от 12.07.2024) &quot;Об утверждении муниципальной программы &quot;Профилактика правонарушений и укрепление правопорядка в городе Смоленске&quot; ------------ Утратил силу или отменен {КонсультантПлюс}" w:history="1">
        <w:r>
          <w:rPr>
            <w:color w:val="000000" w:themeColor="text1"/>
            <w:sz w:val="24"/>
            <w:szCs w:val="24"/>
          </w:rPr>
          <w:t xml:space="preserve">постановлением</w:t>
        </w:r>
      </w:hyperlink>
      <w:r>
        <w:rPr>
          <w:color w:val="000000" w:themeColor="text1"/>
          <w:sz w:val="24"/>
          <w:szCs w:val="24"/>
        </w:rPr>
        <w:t xml:space="preserve"> Администрации муниципального образования «го</w:t>
      </w:r>
      <w:r>
        <w:rPr>
          <w:color w:val="000000" w:themeColor="text1"/>
          <w:sz w:val="24"/>
          <w:szCs w:val="24"/>
        </w:rPr>
        <w:t xml:space="preserve">род Десногорск» Смоленской области от 31.03.2022 №207 «Об утверждении муниципальной программы «Профилактика правонарушений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56"/>
        <w:ind w:left="0" w:right="0" w:firstLine="0"/>
        <w:jc w:val="both"/>
        <w:spacing w:line="264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муниципального</w:t>
      </w:r>
      <w:r>
        <w:rPr>
          <w:color w:val="000000" w:themeColor="text1"/>
          <w:sz w:val="28"/>
          <w:szCs w:val="28"/>
        </w:rPr>
        <w:t xml:space="preserve"> образования «город Десногорск» Смоленской области постановляет: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600"/>
        <w:jc w:val="both"/>
        <w:tabs>
          <w:tab w:val="left" w:pos="774" w:leader="none"/>
        </w:tabs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Утвердить прилагаемое Положение об условиях и порядке стимулирования деятельности народных дружинников на территории муниципального образования «город Десногорск» Смоленской области.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tabs>
          <w:tab w:val="left" w:pos="284" w:leader="none"/>
          <w:tab w:val="left" w:pos="960" w:leader="none"/>
        </w:tabs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 xml:space="preserve">Отделу информационных технологий и связи с общественностью </w:t>
      </w:r>
      <w:r>
        <w:rPr>
          <w:color w:val="000000" w:themeColor="text1"/>
          <w:sz w:val="24"/>
          <w:szCs w:val="24"/>
        </w:rPr>
        <w:t xml:space="preserve">разместить</w:t>
      </w:r>
      <w:r>
        <w:rPr>
          <w:color w:val="000000" w:themeColor="text1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tabs>
          <w:tab w:val="left" w:pos="85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3. Контроль исполнения настоящего постановления возложить на первого з</w:t>
      </w:r>
      <w:r>
        <w:rPr>
          <w:color w:val="000000" w:themeColor="text1"/>
          <w:sz w:val="24"/>
          <w:szCs w:val="24"/>
        </w:rPr>
        <w:t xml:space="preserve">аместителя Главы муниципального образования</w:t>
      </w:r>
      <w:r>
        <w:rPr>
          <w:color w:val="000000" w:themeColor="text1"/>
          <w:sz w:val="24"/>
          <w:szCs w:val="24"/>
        </w:rPr>
        <w:t xml:space="preserve"> З.В. Бриллитантову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Г</w:t>
      </w:r>
      <w:r>
        <w:rPr>
          <w:bCs/>
          <w:color w:val="000000" w:themeColor="text1"/>
          <w:sz w:val="28"/>
          <w:szCs w:val="28"/>
        </w:rPr>
        <w:t xml:space="preserve">лава</w:t>
      </w:r>
      <w:r>
        <w:rPr>
          <w:bCs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«город Десногорск» </w:t>
      </w:r>
      <w:r>
        <w:rPr>
          <w:color w:val="000000" w:themeColor="text1"/>
          <w:sz w:val="28"/>
          <w:szCs w:val="28"/>
        </w:rPr>
        <w:t xml:space="preserve">Смоленской области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А.</w:t>
      </w:r>
      <w:r>
        <w:rPr>
          <w:b/>
          <w:color w:val="000000" w:themeColor="text1"/>
          <w:sz w:val="28"/>
          <w:szCs w:val="28"/>
        </w:rPr>
        <w:t xml:space="preserve">А. Терлецкий</w:t>
      </w:r>
      <w:r>
        <w:rPr>
          <w:iCs/>
          <w:sz w:val="24"/>
          <w:szCs w:val="24"/>
        </w:rPr>
        <w:t xml:space="preserve">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</w:rPr>
        <w:t xml:space="preserve">Утверждено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Администрации</w:t>
      </w:r>
      <w:r>
        <w:rPr>
          <w:rFonts w:ascii="Times New Roman" w:hAnsi="Times New Roman" w:eastAsia="Times New Roman" w:cs="Times New Roman"/>
          <w:sz w:val="24"/>
        </w:rPr>
        <w:t xml:space="preserve"> муниципального образования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  <w:t xml:space="preserve">«город Десногорск» Смоленской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от 16.02.2026 №126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2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2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2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условиях и порядке стимулирования деятельности народных дружинников на территории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2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«город Десногорск» Смоленской области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2"/>
        <w:ind w:left="0" w:right="0" w:firstLine="0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4"/>
        </w:rPr>
        <w:t xml:space="preserve">1. Общие положения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1.1. Настоящ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е Положение определяет условия и порядок морального и материального стимулирования деятельности членов народных дружин на территории муниципального образования «город Десногорск» Смоленской области, участвующих в охране общественного порядка на территории </w:t>
      </w:r>
      <w:r>
        <w:rPr>
          <w:rFonts w:ascii="Times New Roman" w:hAnsi="Times New Roman" w:eastAsia="Times New Roman" w:cs="Times New Roman"/>
          <w:sz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(далее - народные дружинники).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1.2. Основными целями морального и материального стимулирования деятельности народных дружинников являются: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- повышение престижности добровольного участия граждан в охране общественного порядка на территории </w:t>
      </w:r>
      <w:r>
        <w:rPr>
          <w:rFonts w:ascii="Times New Roman" w:hAnsi="Times New Roman" w:eastAsia="Times New Roman" w:cs="Times New Roman"/>
          <w:sz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- укрепление общественной безопасности и правопорядка, повышение роли добровольной народной дружины в охране общественного порядка на территории </w:t>
      </w:r>
      <w:r>
        <w:rPr>
          <w:rFonts w:ascii="Times New Roman" w:hAnsi="Times New Roman" w:eastAsia="Times New Roman" w:cs="Times New Roman"/>
          <w:sz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1.3. Финансовое обеспечение расходов, направленных на материальное стимулирование народных дружинников, осуществляется за счет средств бюджета </w:t>
      </w:r>
      <w:r>
        <w:rPr>
          <w:rFonts w:ascii="Times New Roman" w:hAnsi="Times New Roman" w:eastAsia="Times New Roman" w:cs="Times New Roman"/>
          <w:sz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, предусмотренных </w:t>
      </w:r>
      <w:r>
        <w:rPr>
          <w:szCs w:val="28"/>
        </w:rPr>
        <w:t xml:space="preserve">муниципальной программой «Профилактика правонарушений на территории муниципального образования «город Десногорск» Смоленской области»</w:t>
      </w:r>
      <w:r>
        <w:rPr>
          <w:szCs w:val="28"/>
        </w:rPr>
        <w:t xml:space="preserve">, утверждённой </w:t>
      </w:r>
      <w:r>
        <w:rPr>
          <w:szCs w:val="28"/>
        </w:rPr>
        <w:t xml:space="preserve">постановлением Администрации муниципального образования «город Десногорск» Смоленской области от 31.03.2022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207.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2"/>
        <w:ind w:left="0" w:right="0" w:firstLine="0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4"/>
        </w:rPr>
        <w:t xml:space="preserve">2. Условия и порядок морального стимулирования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2.1. К народным дружинникам, активно участвующим в охране общественного порядка, предупреждении и пресечении правонарушений, применяются меры морального стимулирования: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bookmarkStart w:id="50" w:name="P50"/>
      <w:r>
        <w:rPr>
          <w:rFonts w:ascii="Times New Roman" w:hAnsi="Times New Roman" w:eastAsia="Times New Roman" w:cs="Times New Roman"/>
        </w:rPr>
      </w:r>
      <w:bookmarkEnd w:id="50"/>
      <w:r>
        <w:rPr>
          <w:rFonts w:ascii="Times New Roman" w:hAnsi="Times New Roman" w:eastAsia="Times New Roman" w:cs="Times New Roman"/>
          <w:sz w:val="24"/>
        </w:rPr>
        <w:t xml:space="preserve">- награждение Благодарственным письмом Главы </w:t>
      </w:r>
      <w:r>
        <w:rPr>
          <w:szCs w:val="28"/>
        </w:rPr>
        <w:t xml:space="preserve">муниципального образования «город Десногорск» Смоленской области»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</w:rPr>
      </w:r>
      <w:bookmarkStart w:id="51" w:name="P51"/>
      <w:r>
        <w:rPr>
          <w:rFonts w:ascii="Times New Roman" w:hAnsi="Times New Roman" w:eastAsia="Times New Roman" w:cs="Times New Roman"/>
        </w:rPr>
      </w:r>
      <w:bookmarkEnd w:id="51"/>
      <w:r>
        <w:rPr>
          <w:rFonts w:ascii="Times New Roman" w:hAnsi="Times New Roman" w:eastAsia="Times New Roman" w:cs="Times New Roman"/>
          <w:sz w:val="24"/>
        </w:rPr>
        <w:t xml:space="preserve">- награждение Почетной грамотой Администрации </w:t>
      </w:r>
      <w:r>
        <w:rPr>
          <w:szCs w:val="28"/>
        </w:rPr>
        <w:t xml:space="preserve">муниципального образования «город Десногорск» Смоленской области»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- бесплатное посещение культурно-массовых мероприятий и концертов, которые организовываются и проводятся </w:t>
      </w:r>
      <w:r>
        <w:rPr>
          <w:rFonts w:ascii="Times New Roman" w:hAnsi="Times New Roman" w:eastAsia="Times New Roman" w:cs="Times New Roman"/>
          <w:sz w:val="24"/>
        </w:rPr>
        <w:t xml:space="preserve">муниципальными бюджетными учреждениями </w:t>
      </w:r>
      <w:r>
        <w:rPr>
          <w:szCs w:val="28"/>
        </w:rPr>
        <w:t xml:space="preserve">муниципального образования «город Десногорск» Смоленской области»</w:t>
      </w:r>
      <w:r>
        <w:rPr>
          <w:szCs w:val="28"/>
        </w:rPr>
        <w:t xml:space="preserve">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2.2. Для получения мер морального стимулирования Благодарственное письмо и Почетная грамота, </w:t>
      </w:r>
      <w:r>
        <w:rPr>
          <w:rFonts w:ascii="Times New Roman" w:hAnsi="Times New Roman" w:eastAsia="Times New Roman" w:cs="Times New Roman"/>
          <w:sz w:val="24"/>
        </w:rPr>
        <w:t xml:space="preserve">командир (руководитель) народной дружины подает письменное предложение о награждении в произвольной форме в Администрацию </w:t>
      </w:r>
      <w:r>
        <w:rPr>
          <w:szCs w:val="28"/>
        </w:rPr>
        <w:t xml:space="preserve">муниципального образования «город Десногорск» Смоленской области» (далее – Администрация).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2.3. Для получения мер морального стимулирования, посещения культурно-массовых мероприятий, концертов, к</w:t>
      </w:r>
      <w:r>
        <w:rPr>
          <w:rFonts w:ascii="Times New Roman" w:hAnsi="Times New Roman" w:eastAsia="Times New Roman" w:cs="Times New Roman"/>
          <w:sz w:val="24"/>
        </w:rPr>
        <w:t xml:space="preserve">омандир (руководитель) народной дружины в письменной произвольной форме заблаговременно обращается в соответствующую организацию</w:t>
      </w:r>
      <w:r>
        <w:rPr>
          <w:rFonts w:ascii="Times New Roman" w:hAnsi="Times New Roman" w:eastAsia="Times New Roman" w:cs="Times New Roman"/>
          <w:sz w:val="24"/>
        </w:rPr>
        <w:t xml:space="preserve">, для согласования даты, времени, количества народных дружинников.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2"/>
        <w:ind w:left="0" w:right="0" w:firstLine="0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4"/>
        </w:rPr>
        <w:t xml:space="preserve">3. Условия и порядок материального стимулирования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3.1. Мерами материального стимулирования народных дружинников являются: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- денежная премия;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- единовременная выплата.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3.2. На получение денежной премии имеют право народные дружинники </w:t>
      </w:r>
      <w:r>
        <w:rPr>
          <w:rFonts w:ascii="Times New Roman" w:hAnsi="Times New Roman" w:eastAsia="Times New Roman" w:cs="Times New Roman"/>
          <w:sz w:val="24"/>
        </w:rPr>
        <w:t xml:space="preserve">активно участвующие в охране общественного порядка,</w:t>
      </w:r>
      <w:r>
        <w:rPr>
          <w:rFonts w:ascii="Times New Roman" w:hAnsi="Times New Roman" w:eastAsia="Times New Roman" w:cs="Times New Roman"/>
          <w:sz w:val="24"/>
        </w:rPr>
        <w:t xml:space="preserve"> совершившие не менее 4 выходов на дежурство в течение одного календарного месяца.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eastAsia="Times New Roman" w:cs="Times New Roman"/>
          <w:sz w:val="24"/>
        </w:rPr>
        <w:t xml:space="preserve">3.3. Размер денежной премии каждого народного дружинника составляет 2000 рублей за один календарный месяц.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eastAsia="Times New Roman" w:cs="Times New Roman"/>
          <w:sz w:val="24"/>
        </w:rPr>
        <w:t xml:space="preserve">3.4. Предложения о поощрении денежной премией народных дружинников готовит командир (руководитель) народной дружины, на основании табеля учета выходов народных дружинников на охрану обще</w:t>
      </w:r>
      <w:r>
        <w:rPr>
          <w:rFonts w:ascii="Times New Roman" w:hAnsi="Times New Roman" w:eastAsia="Times New Roman" w:cs="Times New Roman"/>
          <w:sz w:val="24"/>
        </w:rPr>
        <w:t xml:space="preserve">ственного по</w:t>
      </w:r>
      <w:r>
        <w:rPr>
          <w:rFonts w:ascii="Times New Roman" w:hAnsi="Times New Roman" w:eastAsia="Times New Roman" w:cs="Times New Roman"/>
          <w:sz w:val="24"/>
        </w:rPr>
        <w:t xml:space="preserve">рядка, котор</w:t>
      </w:r>
      <w:r>
        <w:rPr>
          <w:rFonts w:ascii="Times New Roman" w:hAnsi="Times New Roman" w:eastAsia="Times New Roman" w:cs="Times New Roman"/>
          <w:sz w:val="24"/>
        </w:rPr>
        <w:t xml:space="preserve">ый должен быть согласован с начальником отдела Министерства внутренних дел России по городу Десногорску и Главой муниципального образования «город Десногорск» Смоленской области, направляется в срок до 30 числа текущего календарного месяца в Администрацию.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3.5. Выплат</w:t>
      </w:r>
      <w:r>
        <w:rPr>
          <w:rFonts w:ascii="Times New Roman" w:hAnsi="Times New Roman" w:eastAsia="Times New Roman" w:cs="Times New Roman"/>
          <w:sz w:val="24"/>
        </w:rPr>
        <w:t xml:space="preserve">а денежной премии производится на основании распоряжения Администрации, принятого в течение 3 рабочих дней со дня направления командиром (руководителем) народной дружины предложения о поощрении денежной премией народных дружинников.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</w:rPr>
        <w:t xml:space="preserve">3.6. Для выплаты денежной премии в течение 5 рабочих дней со дня издания  </w:t>
      </w:r>
      <w:r>
        <w:rPr>
          <w:rFonts w:ascii="Times New Roman" w:hAnsi="Times New Roman" w:eastAsia="Times New Roman" w:cs="Times New Roman"/>
          <w:sz w:val="24"/>
        </w:rPr>
        <w:t xml:space="preserve">распоряжения Администрации </w:t>
      </w:r>
      <w:r>
        <w:rPr>
          <w:rFonts w:ascii="Times New Roman" w:hAnsi="Times New Roman" w:eastAsia="Times New Roman" w:cs="Times New Roman"/>
          <w:sz w:val="24"/>
        </w:rPr>
        <w:t xml:space="preserve">командир (руководитель) народной дружины предоставляет в отдел бух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галтерского учёта Администрации 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следующие документы:</w:t>
      </w:r>
      <w:r>
        <w:rPr>
          <w:color w:val="auto"/>
        </w:rPr>
      </w:r>
      <w:r>
        <w:rPr>
          <w:color w:val="auto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- </w:t>
      </w:r>
      <w:hyperlink w:tooltip="ТАБЕЛЬ" w:anchor="P112" w:history="1">
        <w:r>
          <w:rPr>
            <w:rFonts w:ascii="Times New Roman" w:hAnsi="Times New Roman" w:eastAsia="Times New Roman" w:cs="Times New Roman"/>
            <w:color w:val="auto"/>
            <w:sz w:val="24"/>
          </w:rPr>
          <w:t xml:space="preserve">табель</w:t>
        </w:r>
      </w:hyperlink>
      <w:r>
        <w:rPr>
          <w:rFonts w:ascii="Times New Roman" w:hAnsi="Times New Roman" w:eastAsia="Times New Roman" w:cs="Times New Roman"/>
          <w:color w:val="auto"/>
          <w:sz w:val="24"/>
        </w:rPr>
        <w:t xml:space="preserve"> учета выходов народных дружинников на охрану общественного порядка за календарный месяц по форме согласно приложению № 1 к настоящему Положению и 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распоряжение Администрации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</w:rPr>
      </w:r>
      <w:bookmarkStart w:id="74" w:name="P74"/>
      <w:r>
        <w:rPr>
          <w:rFonts w:ascii="Times New Roman" w:hAnsi="Times New Roman" w:eastAsia="Times New Roman" w:cs="Times New Roman"/>
          <w:color w:val="auto"/>
        </w:rPr>
      </w:r>
      <w:bookmarkEnd w:id="74"/>
      <w:r>
        <w:rPr>
          <w:rFonts w:ascii="Times New Roman" w:hAnsi="Times New Roman" w:eastAsia="Times New Roman" w:cs="Times New Roman"/>
          <w:color w:val="auto"/>
          <w:sz w:val="24"/>
        </w:rPr>
        <w:t xml:space="preserve">- список народных дружинников, имеющих право на получение денежной премии, с указанием суммы;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- копию паспорта;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- копию СНИЛСа;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- копию выписки расчетного счета народного дружинника;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копию свидетельства о постановке на учет физического лица в налоговом органе (ИНН);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  <w:bookmarkStart w:id="79" w:name="P79"/>
      <w:r>
        <w:rPr>
          <w:rFonts w:ascii="Times New Roman" w:hAnsi="Times New Roman" w:eastAsia="Times New Roman" w:cs="Times New Roman"/>
          <w:color w:val="auto"/>
        </w:rPr>
      </w:r>
      <w:bookmarkEnd w:id="79"/>
      <w:r>
        <w:rPr>
          <w:rFonts w:ascii="Times New Roman" w:hAnsi="Times New Roman" w:eastAsia="Times New Roman" w:cs="Times New Roman"/>
          <w:color w:val="auto"/>
          <w:sz w:val="24"/>
        </w:rPr>
        <w:t xml:space="preserve">- </w:t>
      </w:r>
      <w:hyperlink w:tooltip="СОГЛАСИЕ" w:anchor="P201" w:history="1">
        <w:r>
          <w:rPr>
            <w:rFonts w:ascii="Times New Roman" w:hAnsi="Times New Roman" w:eastAsia="Times New Roman" w:cs="Times New Roman"/>
            <w:color w:val="auto"/>
            <w:sz w:val="24"/>
          </w:rPr>
          <w:t xml:space="preserve">согласие</w:t>
        </w:r>
      </w:hyperlink>
      <w:r>
        <w:rPr>
          <w:rFonts w:ascii="Times New Roman" w:hAnsi="Times New Roman" w:eastAsia="Times New Roman" w:cs="Times New Roman"/>
          <w:color w:val="auto"/>
          <w:sz w:val="24"/>
        </w:rPr>
        <w:t xml:space="preserve"> на обработку персональных данных по форме согласно приложению № 2 к настоящему к Положению.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3.7. Выплата денежной премии народному дружиннику осуществляется Администрацией до 10 числа календарного месяца, следующего за отчетным.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3.8. По итогам г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ода при экономии денежных средств, выделенных на выплату денежных премий, может произв</w:t>
      </w:r>
      <w:r>
        <w:rPr>
          <w:rFonts w:ascii="Times New Roman" w:hAnsi="Times New Roman" w:eastAsia="Times New Roman" w:cs="Times New Roman"/>
          <w:sz w:val="24"/>
        </w:rPr>
        <w:t xml:space="preserve">одиться единовременная выплата народным дружинникам, которые активно принимали участие в охране общественного порядка, пропорционально выходам за текущий год.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3.9. Командир (руководитель) народной дружины до 20 декабря текущего календарного года направляет в Администрацию предложение о единовременной выплате народным дружинникам.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</w:rPr>
        <w:t xml:space="preserve">3.10. Единовременная выплата производится на основании распоряжения Администрации, принятого в течение 3 рабочих дней со дня направления командиром (руководителем) народной дружины предложения о единовременной выплате.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</w:rPr>
        <w:t xml:space="preserve">3.11. Для единовременной выплаты в течение 5 рабочих дней со дня издания распоряжения Администрации</w:t>
      </w:r>
      <w:r>
        <w:rPr>
          <w:rFonts w:ascii="Times New Roman" w:hAnsi="Times New Roman" w:eastAsia="Times New Roman" w:cs="Times New Roman"/>
          <w:sz w:val="24"/>
        </w:rPr>
        <w:t xml:space="preserve"> командир (руководитель) народной дружины предоставляет в </w:t>
      </w:r>
      <w:r>
        <w:rPr>
          <w:rFonts w:ascii="Times New Roman" w:hAnsi="Times New Roman" w:eastAsia="Times New Roman" w:cs="Times New Roman"/>
          <w:sz w:val="24"/>
        </w:rPr>
        <w:t xml:space="preserve">отдел бухгалтерского учёта Администрации </w:t>
      </w:r>
      <w:r>
        <w:rPr>
          <w:rFonts w:ascii="Times New Roman" w:hAnsi="Times New Roman" w:eastAsia="Times New Roman" w:cs="Times New Roman"/>
          <w:sz w:val="24"/>
        </w:rPr>
        <w:t xml:space="preserve">табели учета выходов народных дружинников на охрану общественного порядка за год, а также документы, указанные в п.3.6.</w:t>
      </w:r>
      <w:r>
        <w:rPr>
          <w:rFonts w:ascii="Times New Roman" w:hAnsi="Times New Roman" w:eastAsia="Times New Roman" w:cs="Times New Roman"/>
          <w:sz w:val="24"/>
        </w:rPr>
        <w:t xml:space="preserve"> настоящего Положения.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</w:rPr>
        <w:t xml:space="preserve">3.12. Единовременная выплата народному дружиннику осуществляется Администрацией не позднее последнего рабочего дня текущего календарного года.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</w:rPr>
        <w:t xml:space="preserve">Приложение №1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 Положению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 условиях и о порядке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стимулирования деятельности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народных дружинников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территории 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«города Десногорск» Смоленской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(форма)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СОГЛАСОВАНО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МВД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России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 городу Десногорску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"____" 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СОГЛАСОВАНО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«город Десногорск» Смоленской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"____" ___________ 20___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</w:rPr>
              <w:t xml:space="preserve">ТАБЕЛЬ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учета выходов народных дружинников народной дружины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"___________________________________________________________________"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 охрану общественного порядка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_______________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1195"/>
        <w:gridCol w:w="1559"/>
        <w:gridCol w:w="1134"/>
        <w:gridCol w:w="1559"/>
        <w:gridCol w:w="1134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754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Дежурство дружинников, принимавших участие в охране общественного порядка совместно с подразделениями полиции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Выходы дружинников на охрану общественного порядка во время массовых мероприятий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Итого выходов на охрану общественного порядка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17"/>
        <w:gridCol w:w="38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7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Командир (руководитель) народной дружины "______" ______________ 20 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4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__________________/ Ф.И.О./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4"/>
        </w:rPr>
        <w:t xml:space="preserve">Приложение N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 Положению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 условиях и о порядке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стимулирования деятельности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народных дружинников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территории 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  «города Десногорск» Смоленской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(форма)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03"/>
        <w:gridCol w:w="2758"/>
        <w:gridCol w:w="2610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</w:rPr>
              <w:t xml:space="preserve">СОГЛАСИЕ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 обработку персональных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Я, 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(Ф.И.О.)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документ, удостоверяющий личность 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left="39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(наименование документа, кем и когда выдан)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адрес регистрации: 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даю свое согласие на обработку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Я даю согласие на использование персональных данных исключительно в целях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 также на хранение данных на электронных носителях.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Я проинформирован, что 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 </w:t>
            </w: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30" cy="1143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1020335" name="Picture 1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30" cy="11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0.90pt;height:0.90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Данное согласие действует до достижения целей обработки персональных данных или в течение срока хранения информации.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Данное согласие может быть отозвано в любой момент по моему письменному заявлению.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Я подтверждаю, что, давая такое согласие, я действую по собственной воле и в своих интересах.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03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"____" ____________20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8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0" w:type="dxa"/>
            <w:textDirection w:val="lrTb"/>
            <w:noWrap w:val="false"/>
          </w:tcPr>
          <w:p>
            <w:pPr>
              <w:pStyle w:val="8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2242" w:h="15842" w:orient="portrait"/>
      <w:pgMar w:top="1272" w:right="903" w:bottom="709" w:left="1418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420"/>
        <w:tabs>
          <w:tab w:val="num" w:pos="10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16" w:hanging="360"/>
        <w:tabs>
          <w:tab w:val="num" w:pos="17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36" w:hanging="180"/>
        <w:tabs>
          <w:tab w:val="num" w:pos="24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56" w:hanging="360"/>
        <w:tabs>
          <w:tab w:val="num" w:pos="31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76" w:hanging="360"/>
        <w:tabs>
          <w:tab w:val="num" w:pos="38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96" w:hanging="180"/>
        <w:tabs>
          <w:tab w:val="num" w:pos="45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16" w:hanging="360"/>
        <w:tabs>
          <w:tab w:val="num" w:pos="53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36" w:hanging="360"/>
        <w:tabs>
          <w:tab w:val="num" w:pos="60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56" w:hanging="180"/>
        <w:tabs>
          <w:tab w:val="num" w:pos="675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2"/>
    <w:basedOn w:val="856"/>
    <w:next w:val="856"/>
    <w:link w:val="856"/>
    <w:qFormat/>
    <w:pPr>
      <w:ind w:left="708"/>
      <w:keepNext/>
      <w:outlineLvl w:val="1"/>
    </w:pPr>
    <w:rPr>
      <w:sz w:val="28"/>
      <w:szCs w:val="20"/>
    </w:rPr>
  </w:style>
  <w:style w:type="paragraph" w:styleId="858">
    <w:name w:val="Заголовок 3"/>
    <w:basedOn w:val="856"/>
    <w:next w:val="856"/>
    <w:link w:val="856"/>
    <w:qFormat/>
    <w:pPr>
      <w:jc w:val="center"/>
      <w:keepNext/>
      <w:outlineLvl w:val="2"/>
    </w:pPr>
    <w:rPr>
      <w:b/>
      <w:sz w:val="36"/>
      <w:szCs w:val="20"/>
    </w:rPr>
  </w:style>
  <w:style w:type="paragraph" w:styleId="859">
    <w:name w:val="Заголовок 4"/>
    <w:basedOn w:val="856"/>
    <w:next w:val="856"/>
    <w:link w:val="856"/>
    <w:qFormat/>
    <w:pPr>
      <w:jc w:val="center"/>
      <w:keepNext/>
      <w:outlineLvl w:val="3"/>
    </w:pPr>
    <w:rPr>
      <w:b/>
      <w:sz w:val="44"/>
      <w:szCs w:val="20"/>
    </w:rPr>
  </w:style>
  <w:style w:type="paragraph" w:styleId="860">
    <w:name w:val="Заголовок 6"/>
    <w:basedOn w:val="856"/>
    <w:next w:val="856"/>
    <w:link w:val="856"/>
    <w:qFormat/>
    <w:pPr>
      <w:jc w:val="center"/>
      <w:keepNext/>
      <w:outlineLvl w:val="5"/>
    </w:pPr>
    <w:rPr>
      <w:bCs/>
      <w:sz w:val="28"/>
    </w:rPr>
  </w:style>
  <w:style w:type="character" w:styleId="861">
    <w:name w:val="Основной шрифт абзаца"/>
    <w:next w:val="861"/>
    <w:link w:val="856"/>
    <w:semiHidden/>
  </w:style>
  <w:style w:type="table" w:styleId="862">
    <w:name w:val="Обычная таблица"/>
    <w:next w:val="862"/>
    <w:link w:val="856"/>
    <w:semiHidden/>
    <w:tblPr/>
  </w:style>
  <w:style w:type="numbering" w:styleId="863">
    <w:name w:val="Нет списка"/>
    <w:next w:val="863"/>
    <w:link w:val="856"/>
    <w:semiHidden/>
  </w:style>
  <w:style w:type="paragraph" w:styleId="864">
    <w:name w:val="Верхний колонтитул"/>
    <w:basedOn w:val="856"/>
    <w:next w:val="864"/>
    <w:link w:val="874"/>
    <w:uiPriority w:val="99"/>
    <w:pPr>
      <w:tabs>
        <w:tab w:val="center" w:pos="4677" w:leader="none"/>
        <w:tab w:val="right" w:pos="9355" w:leader="none"/>
      </w:tabs>
    </w:pPr>
  </w:style>
  <w:style w:type="paragraph" w:styleId="865">
    <w:name w:val="ConsNormal"/>
    <w:next w:val="865"/>
    <w:link w:val="85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66">
    <w:name w:val="Основной текст"/>
    <w:basedOn w:val="856"/>
    <w:next w:val="866"/>
    <w:link w:val="856"/>
    <w:rPr>
      <w:sz w:val="28"/>
      <w:szCs w:val="20"/>
    </w:rPr>
  </w:style>
  <w:style w:type="paragraph" w:styleId="867">
    <w:name w:val="Обычный1"/>
    <w:next w:val="867"/>
    <w:link w:val="856"/>
    <w:rPr>
      <w:lang w:val="ru-RU" w:eastAsia="ru-RU" w:bidi="ar-SA"/>
    </w:rPr>
  </w:style>
  <w:style w:type="paragraph" w:styleId="868">
    <w:name w:val="Текст выноски"/>
    <w:basedOn w:val="856"/>
    <w:next w:val="868"/>
    <w:link w:val="869"/>
    <w:rPr>
      <w:rFonts w:ascii="Tahoma" w:hAnsi="Tahoma"/>
      <w:sz w:val="16"/>
      <w:szCs w:val="16"/>
      <w:lang w:val="en-US" w:eastAsia="en-US"/>
    </w:rPr>
  </w:style>
  <w:style w:type="character" w:styleId="869">
    <w:name w:val="Текст выноски Знак"/>
    <w:next w:val="869"/>
    <w:link w:val="868"/>
    <w:rPr>
      <w:rFonts w:ascii="Tahoma" w:hAnsi="Tahoma" w:cs="Tahoma"/>
      <w:sz w:val="16"/>
      <w:szCs w:val="16"/>
    </w:rPr>
  </w:style>
  <w:style w:type="character" w:styleId="870">
    <w:name w:val="Гиперссылка"/>
    <w:next w:val="870"/>
    <w:link w:val="856"/>
    <w:uiPriority w:val="99"/>
    <w:unhideWhenUsed/>
    <w:rPr>
      <w:color w:val="0000ff"/>
      <w:u w:val="single"/>
    </w:rPr>
  </w:style>
  <w:style w:type="table" w:styleId="871">
    <w:name w:val="Сетка таблицы"/>
    <w:basedOn w:val="862"/>
    <w:next w:val="871"/>
    <w:link w:val="856"/>
    <w:tblPr/>
  </w:style>
  <w:style w:type="paragraph" w:styleId="872">
    <w:name w:val="Нижний колонтитул"/>
    <w:basedOn w:val="856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next w:val="873"/>
    <w:link w:val="872"/>
    <w:rPr>
      <w:sz w:val="24"/>
      <w:szCs w:val="24"/>
    </w:rPr>
  </w:style>
  <w:style w:type="character" w:styleId="874">
    <w:name w:val="Верхний колонтитул Знак"/>
    <w:next w:val="874"/>
    <w:link w:val="864"/>
    <w:uiPriority w:val="99"/>
    <w:rPr>
      <w:sz w:val="24"/>
      <w:szCs w:val="24"/>
    </w:rPr>
  </w:style>
  <w:style w:type="paragraph" w:styleId="875">
    <w:name w:val="ConsPlusNonformat"/>
    <w:next w:val="875"/>
    <w:link w:val="85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6">
    <w:name w:val="Строгий"/>
    <w:next w:val="876"/>
    <w:link w:val="856"/>
    <w:qFormat/>
    <w:rPr>
      <w:rFonts w:ascii="Times New Roman" w:hAnsi="Times New Roman" w:cs="Times New Roman"/>
      <w:b/>
      <w:bCs/>
    </w:rPr>
  </w:style>
  <w:style w:type="paragraph" w:styleId="877">
    <w:name w:val="Normal (Web)"/>
    <w:basedOn w:val="856"/>
    <w:next w:val="877"/>
    <w:link w:val="856"/>
    <w:pPr>
      <w:spacing w:before="100" w:after="100"/>
      <w:widowControl w:val="off"/>
    </w:pPr>
    <w:rPr>
      <w:lang w:eastAsia="ar-SA"/>
    </w:rPr>
  </w:style>
  <w:style w:type="paragraph" w:styleId="878">
    <w:name w:val="Table Paragraph"/>
    <w:basedOn w:val="856"/>
    <w:next w:val="878"/>
    <w:link w:val="856"/>
    <w:pPr>
      <w:widowControl w:val="off"/>
    </w:pPr>
    <w:rPr>
      <w:sz w:val="22"/>
      <w:szCs w:val="22"/>
      <w:lang w:eastAsia="ar-SA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  <w:style w:type="paragraph" w:styleId="88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Body Text"/>
    <w:basedOn w:val="6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0531&amp;date=09.02.2026&amp;dst=100231&amp;field=134" TargetMode="External"/><Relationship Id="rId12" Type="http://schemas.openxmlformats.org/officeDocument/2006/relationships/hyperlink" Target="https://login.consultant.ru/link/?req=doc&amp;base=RLAW376&amp;n=158555&amp;date=09.02.2026" TargetMode="External"/><Relationship Id="rId13" Type="http://schemas.openxmlformats.org/officeDocument/2006/relationships/hyperlink" Target="https://login.consultant.ru/link/?req=doc&amp;base=RLAW376&amp;n=146380&amp;date=09.02.2026" TargetMode="External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k210</cp:lastModifiedBy>
  <cp:revision>9</cp:revision>
  <dcterms:created xsi:type="dcterms:W3CDTF">2023-09-27T06:23:00Z</dcterms:created>
  <dcterms:modified xsi:type="dcterms:W3CDTF">2026-02-17T06:28:39Z</dcterms:modified>
  <cp:version>917504</cp:version>
</cp:coreProperties>
</file>