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60" w:leader="none"/>
        </w:tabs>
        <w:rPr>
          <w:b/>
          <w:sz w:val="48"/>
        </w:rPr>
      </w:pPr>
      <w:r>
        <w:rPr/>
        <mc:AlternateContent>
          <mc:Choice Requires="wps">
            <w:drawing>
              <wp:anchor behindDoc="0" distT="635" distB="0" distL="635" distR="0" simplePos="0" locked="0" layoutInCell="1" allowOverlap="1" relativeHeight="3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5295" cy="727075"/>
                <wp:effectExtent l="635" t="635" r="0" b="0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360" cy="72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hanging="0"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hanging="0" w:lef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Heading6"/>
                              <w:rPr>
                                <w:bCs w:val="false"/>
                                <w:szCs w:val="20"/>
                              </w:rPr>
                            </w:pPr>
                            <w:r>
                              <w:rPr>
                                <w:bCs w:val="false"/>
                                <w:color w:val="000000"/>
                                <w:szCs w:val="20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.</w:t>
                            </w:r>
                          </w:p>
                          <w:p>
                            <w:pPr>
                              <w:pStyle w:val="Style17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f" o:allowincell="f" style="position:absolute;margin-left:59.25pt;margin-top:5.4pt;width:435.8pt;height:57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hanging="0"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hanging="0" w:lef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</w:p>
                    <w:p>
                      <w:pPr>
                        <w:pStyle w:val="Heading6"/>
                        <w:rPr>
                          <w:bCs w:val="false"/>
                          <w:szCs w:val="20"/>
                        </w:rPr>
                      </w:pPr>
                      <w:r>
                        <w:rPr>
                          <w:bCs w:val="false"/>
                          <w:color w:val="000000"/>
                          <w:szCs w:val="20"/>
                        </w:rPr>
                        <w:t>СМОЛЕНСКОЙ ОБЛАСТИ</w:t>
                      </w:r>
                    </w:p>
                    <w:p>
                      <w:pPr>
                        <w:pStyle w:val="Heading3"/>
                        <w:rPr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</w:r>
                    </w:p>
                    <w:p>
                      <w:pPr>
                        <w:pStyle w:val="Style17"/>
                        <w:rPr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</w:r>
                    </w:p>
                    <w:p>
                      <w:pPr>
                        <w:pStyle w:val="Style17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color w:val="000000"/>
                        </w:rPr>
                        <w:tab/>
                        <w:t>.</w:t>
                      </w:r>
                    </w:p>
                    <w:p>
                      <w:pPr>
                        <w:pStyle w:val="Style17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</w:rPr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676275" cy="676275"/>
            <wp:effectExtent l="0" t="0" r="0" b="0"/>
            <wp:docPr id="2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rPr>
          <w:sz w:val="32"/>
        </w:rPr>
      </w:pPr>
      <w:r>
        <w:rPr>
          <w:sz w:val="32"/>
        </w:rPr>
      </w:r>
    </w:p>
    <w:p>
      <w:pPr>
        <w:pStyle w:val="Heading4"/>
        <w:rPr>
          <w:sz w:val="32"/>
        </w:rPr>
      </w:pPr>
      <w:r>
        <w:rPr>
          <w:sz w:val="32"/>
        </w:rPr>
      </w:r>
    </w:p>
    <w:p>
      <w:pPr>
        <w:pStyle w:val="Heading4"/>
        <w:rPr>
          <w:sz w:val="32"/>
        </w:rPr>
      </w:pPr>
      <w:r>
        <w:rPr>
          <w:sz w:val="32"/>
        </w:rPr>
        <w:t>П О С Т А Н О В Л Е Н И 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От </w:t>
      </w:r>
      <w:r>
        <w:rPr/>
        <w:t xml:space="preserve">02.09.2025 </w:t>
      </w:r>
      <w:r>
        <w:rPr/>
        <w:t xml:space="preserve">№ </w:t>
      </w:r>
      <w:r>
        <w:rPr/>
        <w:t>890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4536" w:leader="none"/>
        </w:tabs>
        <w:ind w:hanging="0" w:right="5385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изменения в постановление Администрации муниципального образования «город Десногорск» Смоленской области от 11.07.2023         № 659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Руководствуясь 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shd w:fill="FFFFFF" w:val="clear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 постановлением Правительства Российской Федерации от 16.12.2017 №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 постановлениями Администрации муниципального образования «город Десногорск» Смоленской области, от 28.03.2018 № 277 «Об утверждении муниципальной программы «Формирование комфортной городской среды муниципального образования «город Десногорск» Смоленской области»,  от 06.10.2017 № 994 «О создании общественной комиссии» и в целях повышения уровня вовлеченности граждан в принятие решений и осуществление мероприятий по формированию комфортной городской среды в рамках приоритетного проекта «Формирование современной городской среды»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«город Десногорск» </w:t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Смоленской области постановляет: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11.07.2023 № 659 «Об утверждении Порядка предоставления, рассмотрения и оценки предложений заинтересованных лиц для включения дворовой территории в муниципальную программу «Формирование комфортной городской среды» муниципального образования «город  Десногорск» Смоленской области </w:t>
      </w:r>
      <w:r>
        <w:rPr>
          <w:rFonts w:ascii="Times new roman" w:hAnsi="Times new roman"/>
          <w:b w:val="false"/>
          <w:bCs w:val="false"/>
          <w:sz w:val="24"/>
          <w:szCs w:val="24"/>
        </w:rPr>
        <w:t>и признании утратившим силу постановления Администрации муниципального образования «город Десногорск» Смоленской области от 20.10.2017 № 1023 «Об утверждении Порядка предоставления, рассмотрения и оценки предложений заинтересованных лиц для включения дворовой территории в муниципальную программу формирование комфортной городской среды на территории муниципального образования «город Десногорск» Смоленской области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в 2018 году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» </w:t>
      </w:r>
      <w:r>
        <w:rPr>
          <w:rFonts w:ascii="Times new roman" w:hAnsi="Times new roman"/>
          <w:b w:val="false"/>
          <w:bCs w:val="false"/>
          <w:sz w:val="24"/>
          <w:szCs w:val="24"/>
        </w:rPr>
        <w:t>в приложение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Пункт 4.4. раздела 4. Порядок оценки и отбора поступивших заявок изложить в следующей редакции: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«4.4.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Включению в </w:t>
      </w:r>
      <w:r>
        <w:rPr>
          <w:rFonts w:ascii="Times new roman" w:hAnsi="Times new roman"/>
          <w:sz w:val="24"/>
          <w:szCs w:val="24"/>
          <w:lang w:eastAsia="ru-RU"/>
        </w:rPr>
        <w:t xml:space="preserve">муниципальную программу </w:t>
      </w:r>
      <w:r>
        <w:rPr>
          <w:rFonts w:ascii="Times new roman" w:hAnsi="Times new roman"/>
          <w:bCs/>
          <w:sz w:val="24"/>
          <w:szCs w:val="24"/>
          <w:lang w:eastAsia="ru-RU"/>
        </w:rPr>
        <w:t>подлежат дворовые территории, соответствующие всем установленным требованиям. В случае, если несколько дворовых территорий наберут одинаковое количество баллов, очередность включения в подпрограмму определяется по дате подачи заявки.»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1.2. Раздел 4. Порядок оценки и отбора поступивших заявок дополнить пунктом 4.7: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«4.7. На основании протокола вносятся дополнения в ранее утвержденный график на выполнение работ придомовых территорий МКД в ФКГС (далее - график).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Утвержденный график является основанием для формирования муниципальной программы,   на общую сумму , не превышающую размер выделенных субсидий  на предстоящий год,  с учетом софинансирования за счет местного бюджета.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1.3. Приложение к Порядку предоставления, рассмотрения и оценки предложений заинтересованных лиц для включения дворовой территории в муниципальную программу «Формирование комфортной городской среды» в муниципальном образовании «город Десногорск» Смоленской области изложить в новой редакции (приложение).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Отделу     информационных     технологий    и    связи   с       общественностью  разместить настоящее постановление на официальном сайте Администрации муниципального образования «город Десногорск» Смоленской области в  сети Интернет.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 исполнения настоящего постановления возложить на заместителя Главы муниципального образования-председателя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r>
        <w:rPr>
          <w:rFonts w:eastAsia="Times New Roman" w:ascii="Times new roman" w:hAnsi="Times new roman"/>
          <w:sz w:val="24"/>
          <w:szCs w:val="24"/>
        </w:rPr>
        <w:t>Федоренкова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          </w:t>
        <w:tab/>
        <w:t xml:space="preserve">      </w:t>
      </w:r>
      <w:r>
        <w:rPr>
          <w:b/>
          <w:sz w:val="28"/>
          <w:szCs w:val="28"/>
        </w:rPr>
        <w:t xml:space="preserve">  А.А. </w:t>
      </w:r>
      <w:r>
        <w:rPr>
          <w:rFonts w:eastAsia="Times New Roman"/>
          <w:b/>
          <w:sz w:val="28"/>
          <w:szCs w:val="28"/>
        </w:rPr>
        <w:t>Терлецкий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firstLine="5272" w:left="0" w:right="0"/>
        <w:jc w:val="left"/>
        <w:rPr/>
      </w:pPr>
      <w:r>
        <w:rPr/>
        <w:t xml:space="preserve">Приложение </w:t>
      </w:r>
    </w:p>
    <w:p>
      <w:pPr>
        <w:pStyle w:val="Normal"/>
        <w:widowControl/>
        <w:suppressAutoHyphens w:val="true"/>
        <w:bidi w:val="0"/>
        <w:spacing w:before="0" w:after="0"/>
        <w:ind w:hanging="0" w:left="5272" w:right="0"/>
        <w:jc w:val="left"/>
        <w:rPr/>
      </w:pPr>
      <w:r>
        <w:rPr/>
        <w:t>к постановлению Администрации муниципального образования «город Десногорск» Смоленской области</w:t>
      </w:r>
    </w:p>
    <w:p>
      <w:pPr>
        <w:pStyle w:val="Normal"/>
        <w:widowControl/>
        <w:suppressAutoHyphens w:val="true"/>
        <w:bidi w:val="0"/>
        <w:spacing w:before="0" w:after="0"/>
        <w:ind w:firstLine="5272" w:left="0" w:right="0"/>
        <w:jc w:val="left"/>
        <w:rPr/>
      </w:pPr>
      <w:r>
        <w:rPr/>
        <w:t xml:space="preserve">от </w:t>
      </w:r>
      <w:r>
        <w:rPr/>
        <w:t xml:space="preserve">02.09.2025  </w:t>
      </w:r>
      <w:r>
        <w:rPr/>
        <w:t xml:space="preserve">№ </w:t>
      </w:r>
      <w:r>
        <w:rPr/>
        <w:t>890</w:t>
      </w:r>
    </w:p>
    <w:p>
      <w:pPr>
        <w:pStyle w:val="Normal"/>
        <w:widowControl/>
        <w:suppressAutoHyphens w:val="true"/>
        <w:bidi w:val="0"/>
        <w:spacing w:before="0" w:after="0"/>
        <w:ind w:firstLine="5272" w:left="0" w:right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firstLine="5272" w:left="0" w:right="0"/>
        <w:jc w:val="left"/>
        <w:rPr/>
      </w:pPr>
      <w:r>
        <w:rPr/>
        <w:t>Приложение</w:t>
      </w:r>
    </w:p>
    <w:p>
      <w:pPr>
        <w:pStyle w:val="Normal"/>
        <w:widowControl/>
        <w:tabs>
          <w:tab w:val="clear" w:pos="708"/>
          <w:tab w:val="left" w:pos="1080" w:leader="none"/>
        </w:tabs>
        <w:suppressAutoHyphens w:val="true"/>
        <w:bidi w:val="0"/>
        <w:spacing w:before="0" w:after="0"/>
        <w:ind w:hanging="0" w:left="5272" w:right="0"/>
        <w:jc w:val="left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 Порядку предоставления, рассмотрения и оценки предложений заинтересованных лиц для включения дворовой территории в муниципальную программу «Формирование комфортной городской среды» в муниципальном образовании «город Десногорск» Смоленской области</w:t>
      </w:r>
    </w:p>
    <w:p>
      <w:pPr>
        <w:pStyle w:val="Normal"/>
        <w:tabs>
          <w:tab w:val="clear" w:pos="708"/>
          <w:tab w:val="left" w:pos="1080" w:leader="none"/>
        </w:tabs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</w:p>
    <w:p>
      <w:pPr>
        <w:pStyle w:val="Normal"/>
        <w:tabs>
          <w:tab w:val="clear" w:pos="708"/>
          <w:tab w:val="left" w:pos="1080" w:leader="none"/>
        </w:tabs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563"/>
        <w:gridCol w:w="3652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Критерии отбора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баллы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Дата подачи заявки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</w:tr>
      <w:tr>
        <w:trPr>
          <w:trHeight w:val="311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Участие собственников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Предоставление в текущем году в общественную комиссию заявок для участия в программе ФКГС соседних* многоквартирных домов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Собираемость платы МКД за ЖКУ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</w:tbl>
    <w:p>
      <w:pPr>
        <w:pStyle w:val="Normal"/>
        <w:suppressAutoHyphens w:val="false"/>
        <w:rPr>
          <w:lang w:eastAsia="ru-RU"/>
        </w:rPr>
      </w:pPr>
      <w:r>
        <w:rPr>
          <w:lang w:eastAsia="ru-RU"/>
        </w:rPr>
      </w:r>
    </w:p>
    <w:p>
      <w:pPr>
        <w:pStyle w:val="Normal"/>
        <w:suppressAutoHyphens w:val="false"/>
        <w:rPr>
          <w:lang w:eastAsia="ru-RU"/>
        </w:rPr>
      </w:pPr>
      <w:r>
        <w:rPr>
          <w:lang w:eastAsia="ru-RU"/>
        </w:rPr>
      </w:r>
    </w:p>
    <w:p>
      <w:pPr>
        <w:pStyle w:val="Normal"/>
        <w:suppressAutoHyphens w:val="false"/>
        <w:rPr>
          <w:lang w:eastAsia="ru-RU"/>
        </w:rPr>
      </w:pPr>
      <w:r>
        <w:rPr>
          <w:lang w:eastAsia="ru-RU"/>
        </w:rPr>
        <w:t>* - соседними домами являются дома образующие единую дворовую территорию.</w:t>
      </w:r>
    </w:p>
    <w:p>
      <w:pPr>
        <w:pStyle w:val="Normal"/>
        <w:suppressAutoHyphens w:val="false"/>
        <w:rPr>
          <w:lang w:eastAsia="ru-RU"/>
        </w:rPr>
      </w:pPr>
      <w:r>
        <w:rPr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sectPr>
      <w:headerReference w:type="default" r:id="rId4"/>
      <w:footerReference w:type="default" r:id="rId5"/>
      <w:type w:val="nextPage"/>
      <w:pgSz w:w="11906" w:h="16838"/>
      <w:pgMar w:left="1418" w:right="680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57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uiPriority w:val="99"/>
    <w:qFormat/>
    <w:rsid w:val="00d657f9"/>
    <w:pPr>
      <w:keepNext w:val="true"/>
      <w:ind w:hanging="0" w:left="708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uiPriority w:val="99"/>
    <w:qFormat/>
    <w:rsid w:val="00d657f9"/>
    <w:pPr>
      <w:keepNext w:val="true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uiPriority w:val="99"/>
    <w:qFormat/>
    <w:rsid w:val="00d657f9"/>
    <w:pPr>
      <w:keepNext w:val="true"/>
      <w:jc w:val="center"/>
      <w:outlineLvl w:val="3"/>
    </w:pPr>
    <w:rPr>
      <w:b/>
      <w:sz w:val="44"/>
      <w:szCs w:val="20"/>
    </w:rPr>
  </w:style>
  <w:style w:type="paragraph" w:styleId="Heading6">
    <w:name w:val="Heading 6"/>
    <w:basedOn w:val="Normal"/>
    <w:next w:val="Normal"/>
    <w:uiPriority w:val="99"/>
    <w:qFormat/>
    <w:rsid w:val="00d657f9"/>
    <w:pPr>
      <w:keepNext w:val="true"/>
      <w:jc w:val="center"/>
      <w:outlineLvl w:val="5"/>
    </w:pPr>
    <w:rPr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uiPriority w:val="99"/>
    <w:qFormat/>
    <w:locked/>
    <w:rsid w:val="00d657f9"/>
    <w:rPr>
      <w:rFonts w:ascii="Times New Roman" w:hAnsi="Times New Roman" w:cs="Times New Roman"/>
      <w:sz w:val="20"/>
      <w:szCs w:val="20"/>
      <w:lang w:eastAsia="ru-RU"/>
    </w:rPr>
  </w:style>
  <w:style w:type="character" w:styleId="3" w:customStyle="1">
    <w:name w:val="Заголовок 3 Знак"/>
    <w:uiPriority w:val="99"/>
    <w:qFormat/>
    <w:locked/>
    <w:rsid w:val="00d657f9"/>
    <w:rPr>
      <w:rFonts w:ascii="Times New Roman" w:hAnsi="Times New Roman" w:cs="Times New Roman"/>
      <w:b/>
      <w:sz w:val="20"/>
      <w:szCs w:val="20"/>
      <w:lang w:eastAsia="ru-RU"/>
    </w:rPr>
  </w:style>
  <w:style w:type="character" w:styleId="4" w:customStyle="1">
    <w:name w:val="Заголовок 4 Знак"/>
    <w:uiPriority w:val="99"/>
    <w:qFormat/>
    <w:locked/>
    <w:rsid w:val="00d657f9"/>
    <w:rPr>
      <w:rFonts w:ascii="Times New Roman" w:hAnsi="Times New Roman" w:cs="Times New Roman"/>
      <w:b/>
      <w:sz w:val="20"/>
      <w:szCs w:val="20"/>
      <w:lang w:eastAsia="ru-RU"/>
    </w:rPr>
  </w:style>
  <w:style w:type="character" w:styleId="6" w:customStyle="1">
    <w:name w:val="Заголовок 6 Знак"/>
    <w:uiPriority w:val="99"/>
    <w:qFormat/>
    <w:locked/>
    <w:rsid w:val="00d657f9"/>
    <w:rPr>
      <w:rFonts w:ascii="Times New Roman" w:hAnsi="Times New Roman" w:cs="Times New Roman"/>
      <w:bCs/>
      <w:sz w:val="24"/>
      <w:szCs w:val="24"/>
      <w:lang w:eastAsia="ru-RU"/>
    </w:rPr>
  </w:style>
  <w:style w:type="character" w:styleId="Style10" w:customStyle="1">
    <w:name w:val="Текст выноски Знак"/>
    <w:uiPriority w:val="99"/>
    <w:semiHidden/>
    <w:qFormat/>
    <w:locked/>
    <w:rsid w:val="00d657f9"/>
    <w:rPr>
      <w:rFonts w:ascii="Tahoma" w:hAnsi="Tahoma" w:cs="Tahoma"/>
      <w:sz w:val="16"/>
      <w:szCs w:val="16"/>
      <w:lang w:eastAsia="ru-RU"/>
    </w:rPr>
  </w:style>
  <w:style w:type="character" w:styleId="Style11" w:customStyle="1">
    <w:name w:val="Верхний колонтитул Знак"/>
    <w:uiPriority w:val="99"/>
    <w:qFormat/>
    <w:rsid w:val="00c270a9"/>
    <w:rPr>
      <w:rFonts w:ascii="Times New Roman" w:hAnsi="Times New Roman" w:eastAsia="Times New Roman"/>
      <w:sz w:val="24"/>
      <w:szCs w:val="24"/>
    </w:rPr>
  </w:style>
  <w:style w:type="character" w:styleId="Style12" w:customStyle="1">
    <w:name w:val="Нижний колонтитул Знак"/>
    <w:uiPriority w:val="99"/>
    <w:qFormat/>
    <w:rsid w:val="00c270a9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ConsNormal" w:customStyle="1">
    <w:name w:val="ConsNormal"/>
    <w:uiPriority w:val="99"/>
    <w:qFormat/>
    <w:rsid w:val="00d657f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uiPriority w:val="99"/>
    <w:qFormat/>
    <w:rsid w:val="00d657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d657f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c3043"/>
    <w:pPr>
      <w:spacing w:before="0" w:after="0"/>
      <w:ind w:hanging="0" w:left="720"/>
      <w:contextualSpacing/>
    </w:pPr>
    <w:rPr/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270a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c270a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 w:customStyle="1">
    <w:name w:val="Обычный2"/>
    <w:qFormat/>
    <w:rsid w:val="000c6a9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s.cntd.ru/document/901876063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E5DF-D433-4C63-AC8B-0DEB00A4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LibreOffice/7.6.7.2$Linux_X86_64 LibreOffice_project/60$Build-2</Application>
  <AppVersion>15.0000</AppVersion>
  <Pages>3</Pages>
  <Words>565</Words>
  <Characters>4187</Characters>
  <CharactersWithSpaces>4825</CharactersWithSpaces>
  <Paragraphs>43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2023-03-01T10:37:00Z</dcterms:created>
  <dc:creator>ugochs</dc:creator>
  <dc:description/>
  <dc:language>ru-RU</dc:language>
  <cp:lastModifiedBy/>
  <cp:lastPrinted>2025-03-10T16:06:51Z</cp:lastPrinted>
  <dcterms:modified xsi:type="dcterms:W3CDTF">2025-09-05T11:22:21Z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