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536" w:leader="none"/>
          <w:tab w:val="left" w:pos="6804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FF0000"/>
          <w:sz w:val="20"/>
          <w:szCs w:val="20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48"/>
          <w:szCs w:val="20"/>
        </w:rPr>
      </w:pPr>
      <w:r>
        <w:rPr>
          <w:rFonts w:eastAsia="Times New Roman" w:cs="Times New Roman" w:ascii="Times New Roman" w:hAnsi="Times New Roman"/>
          <w:b/>
          <w:sz w:val="48"/>
          <w:szCs w:val="20"/>
        </w:rPr>
        <mc:AlternateContent>
          <mc:Choice Requires="wps">
            <w:drawing>
              <wp:anchor behindDoc="0" distT="0" distB="4445" distL="0" distR="0" simplePos="0" locked="0" layoutInCell="0" allowOverlap="1" relativeHeight="2" wp14:anchorId="149156BA">
                <wp:simplePos x="0" y="0"/>
                <wp:positionH relativeFrom="page">
                  <wp:posOffset>1828800</wp:posOffset>
                </wp:positionH>
                <wp:positionV relativeFrom="page">
                  <wp:posOffset>900430</wp:posOffset>
                </wp:positionV>
                <wp:extent cx="5202555" cy="666750"/>
                <wp:effectExtent l="0" t="0" r="0" b="4445"/>
                <wp:wrapNone/>
                <wp:docPr id="1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720" cy="666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АДМИНИСТРАЦИЯ</w:t>
                            </w:r>
                          </w:p>
                          <w:p>
                            <w:pPr>
                              <w:pStyle w:val="Heading2"/>
                              <w:ind w:lef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МУНИЦИПАЛЬНОГО ОБРАЗОВАНИЯ «ГОРОД ДЕСНОГОРСК»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8"/>
                              </w:rPr>
                              <w:t>СМОЛЕНСКОЙ ОБЛАСТИ</w:t>
                            </w:r>
                          </w:p>
                          <w:p>
                            <w:pPr>
                              <w:pStyle w:val="Style1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Heading3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</w:r>
                          </w:p>
                          <w:p>
                            <w:pPr>
                              <w:pStyle w:val="Style1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</w:r>
                          </w:p>
                          <w:p>
                            <w:pPr>
                              <w:pStyle w:val="Style19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.</w:t>
                            </w:r>
                          </w:p>
                          <w:p>
                            <w:pPr>
                              <w:pStyle w:val="Style19"/>
                              <w:jc w:val="right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8"/>
                              </w:rPr>
                            </w:r>
                          </w:p>
                          <w:p>
                            <w:pPr>
                              <w:pStyle w:val="Style19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2600" rIns="12600" tIns="12600" bIns="126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path="m0,0l-2147483645,0l-2147483645,-2147483646l0,-2147483646xe" stroked="f" o:allowincell="f" style="position:absolute;margin-left:144pt;margin-top:70.9pt;width:409.6pt;height:52.45pt;mso-wrap-style:square;v-text-anchor:top;mso-position-horizontal-relative:page;mso-position-vertical-relative:page" wp14:anchorId="149156B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АДМИНИСТРАЦИЯ</w:t>
                      </w:r>
                    </w:p>
                    <w:p>
                      <w:pPr>
                        <w:pStyle w:val="Heading2"/>
                        <w:ind w:lef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МУНИЦИПАЛЬНОГО ОБРАЗОВАНИЯ «ГОРОД ДЕСНОГОРСК»</w:t>
                      </w:r>
                    </w:p>
                    <w:p>
                      <w:pPr>
                        <w:pStyle w:val="Style19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8"/>
                        </w:rPr>
                        <w:t>СМОЛЕНСКОЙ ОБЛАСТИ</w:t>
                      </w:r>
                    </w:p>
                    <w:p>
                      <w:pPr>
                        <w:pStyle w:val="Style1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Heading3"/>
                        <w:rPr>
                          <w:sz w:val="44"/>
                        </w:rPr>
                      </w:pPr>
                      <w:r>
                        <w:rPr>
                          <w:color w:val="000000"/>
                          <w:sz w:val="44"/>
                        </w:rPr>
                      </w:r>
                    </w:p>
                    <w:p>
                      <w:pPr>
                        <w:pStyle w:val="Style19"/>
                        <w:rPr>
                          <w:sz w:val="12"/>
                        </w:rPr>
                      </w:pPr>
                      <w:r>
                        <w:rPr>
                          <w:color w:val="000000"/>
                          <w:sz w:val="12"/>
                        </w:rPr>
                      </w:r>
                    </w:p>
                    <w:p>
                      <w:pPr>
                        <w:pStyle w:val="Style19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color w:val="000000"/>
                        </w:rPr>
                        <w:tab/>
                        <w:t>.</w:t>
                      </w:r>
                    </w:p>
                    <w:p>
                      <w:pPr>
                        <w:pStyle w:val="Style19"/>
                        <w:jc w:val="right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48"/>
                        </w:rPr>
                      </w:r>
                    </w:p>
                    <w:p>
                      <w:pPr>
                        <w:pStyle w:val="Style19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4">
            <wp:simplePos x="0" y="0"/>
            <wp:positionH relativeFrom="page">
              <wp:posOffset>720090</wp:posOffset>
            </wp:positionH>
            <wp:positionV relativeFrom="page">
              <wp:posOffset>900430</wp:posOffset>
            </wp:positionV>
            <wp:extent cx="685800" cy="695325"/>
            <wp:effectExtent l="0" t="0" r="0" b="0"/>
            <wp:wrapSquare wrapText="bothSides"/>
            <wp:docPr id="2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_cv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sz w:val="32"/>
          <w:szCs w:val="20"/>
        </w:rPr>
      </w:pPr>
      <w:r>
        <w:rPr>
          <w:rFonts w:eastAsia="Times New Roman" w:cs="Times New Roman" w:ascii="Times New Roman" w:hAnsi="Times New Roman"/>
          <w:b/>
          <w:sz w:val="32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sz w:val="32"/>
          <w:szCs w:val="20"/>
        </w:rPr>
      </w:pPr>
      <w:r>
        <w:rPr>
          <w:rFonts w:eastAsia="Times New Roman" w:cs="Times New Roman" w:ascii="Times New Roman" w:hAnsi="Times New Roman"/>
          <w:b/>
          <w:sz w:val="32"/>
          <w:szCs w:val="20"/>
        </w:rPr>
        <w:t xml:space="preserve">     </w:t>
      </w:r>
      <w:r>
        <w:rPr>
          <w:rFonts w:eastAsia="Times New Roman" w:cs="Times New Roman" w:ascii="Times New Roman" w:hAnsi="Times New Roman"/>
          <w:b/>
          <w:sz w:val="32"/>
          <w:szCs w:val="20"/>
        </w:rPr>
        <w:t>П О С Т А Н О В Л Е Н И Е</w:t>
      </w:r>
    </w:p>
    <w:p>
      <w:pPr>
        <w:pStyle w:val="Normal"/>
        <w:tabs>
          <w:tab w:val="clear" w:pos="708"/>
          <w:tab w:val="left" w:pos="6555" w:leader="none"/>
        </w:tabs>
        <w:spacing w:lineRule="auto" w:line="240" w:before="240" w:after="240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sz w:val="24"/>
          <w:szCs w:val="20"/>
        </w:rPr>
      </w:r>
    </w:p>
    <w:p>
      <w:pPr>
        <w:pStyle w:val="Normal"/>
        <w:tabs>
          <w:tab w:val="clear" w:pos="708"/>
          <w:tab w:val="left" w:pos="6555" w:leader="none"/>
        </w:tabs>
        <w:spacing w:lineRule="auto" w:line="240" w:before="240" w:after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</w:rPr>
        <w:t xml:space="preserve">16.07.2025 </w:t>
      </w:r>
      <w:r>
        <w:rPr>
          <w:rFonts w:cs="Times New Roman"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718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4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644"/>
      </w:tblGrid>
      <w:tr>
        <w:trPr>
          <w:trHeight w:val="2919" w:hRule="atLeast"/>
        </w:trPr>
        <w:tc>
          <w:tcPr>
            <w:tcW w:w="4644" w:type="dxa"/>
            <w:tcBorders/>
          </w:tcPr>
          <w:p>
            <w:pPr>
              <w:pStyle w:val="Normal"/>
              <w:spacing w:lineRule="auto" w:line="240" w:before="0" w:after="0"/>
              <w:ind w:right="34"/>
              <w:jc w:val="both"/>
              <w:rPr>
                <w:rFonts w:ascii="Times New Roman" w:hAnsi="Times New Roman" w:eastAsia="Times New Roman" w:cs="Times New Roman"/>
                <w:b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О внесении изменений в постановление Администрации муниципального образования «город Десногорск» Смоленской области от 28.03.2018                  № 277 «Об утверждении муниципальной программы «Формирование комфортной городской среды муниципального образования «город Десногорск» Смоленской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области»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соответствии с Порядком принятия решения о разработке муниципальных программ муниципального образования «город Десногорск» Смоленской области, их формирования и реализации,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реализации программных мероприятий,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Администрация муниципального образования «город Десногорск» Смоленской области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1. Внести в постановление Администрации муниципального образования «город Десногорск» Смоленской области» от 22.03.2018 № 277 «Об утверждении муниципальной программы «Формирование комфортной городской среды муниципального образования «город Десногорск» Смоленской области (в ред. от 27.03.2019 № 319, от 27.05.2019 № 561, от 11.07.2019 № 775, от 17.03.2020  № 242, от 22.10.2020 № 750, от 31.12.2020 № 992, от 17.06.2021 № 559, от 30.06.2021№ 608, от 19.11.2021 № 1017, от 31.03.2022 № 198, от 22.04.2022 </w:t>
        <w:br/>
        <w:t>№ 282,от 07.11.2022 № 955, от 30.03.2023 № 303, 25.04.2023 № 409, 05.03.2024 № 237, от 28.12.2024 № 1423, от 04.04.2025 № 362)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1.1. В паспорте муниципальной программы «Формирование комфортной городской среды муниципального образования «город Десногорск» Смоленской области» строку 5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tbl>
      <w:tblPr>
        <w:tblW w:w="9923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835"/>
        <w:gridCol w:w="7087"/>
      </w:tblGrid>
      <w:tr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</w:rPr>
              <w:t>Общий объем финансирования составляет 410 720,6 тыс. рублей, из них: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федерального бюджета – 370 639,2 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областного бюджета – 35 742,2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местного бюджета – 4 247,3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внебюджетных источников – 91,9 тыс. рублей.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в том числе: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 xml:space="preserve">этап </w:t>
            </w:r>
            <w:r>
              <w:rPr>
                <w:rFonts w:eastAsia="Segoe UI"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: 2018-2021 – 147 500,3 тыс. рублей.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из них: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федерального бюджета – 124 165,7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областного бюджета – 22 707,6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местного бюджета – 535,1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внебюджетных источников – 91,9 тыс. рублей.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 xml:space="preserve">этап </w:t>
            </w:r>
            <w:r>
              <w:rPr>
                <w:rFonts w:eastAsia="Segoe UI" w:cs="Times New Roman"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: 2022-2027 – 263 220,3 тыс. рублей.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федерального бюджета –  246 473,5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областного бюджета – 13 034,6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местного бюджета – 3 712,2 тыс. рублей;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Segoe UI" w:cs="Tahoma"/>
              </w:rPr>
            </w:pPr>
            <w:r>
              <w:rPr>
                <w:rFonts w:eastAsia="Segoe UI" w:cs="Times New Roman" w:ascii="Times New Roman" w:hAnsi="Times New Roman"/>
                <w:sz w:val="24"/>
                <w:szCs w:val="24"/>
              </w:rPr>
              <w:t>средства внебюджетных источников – 0 тыс. рублей.</w:t>
            </w:r>
          </w:p>
        </w:tc>
      </w:tr>
    </w:tbl>
    <w:p>
      <w:pPr>
        <w:pStyle w:val="Normal"/>
        <w:spacing w:lineRule="auto" w:line="240" w:before="0" w:after="0"/>
        <w:ind w:firstLine="907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sz w:val="24"/>
          <w:szCs w:val="24"/>
        </w:rPr>
        <w:t>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1.2. Раздел 3 «Структура муниципальной программы» изложить в новой редакции:</w:t>
      </w:r>
    </w:p>
    <w:p>
      <w:pPr>
        <w:pStyle w:val="Normal"/>
        <w:spacing w:lineRule="auto" w:line="240" w:before="0" w:after="0"/>
        <w:ind w:hanging="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</w:t>
      </w:r>
    </w:p>
    <w:tbl>
      <w:tblPr>
        <w:tblW w:w="4850" w:type="pct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58"/>
        <w:gridCol w:w="10"/>
        <w:gridCol w:w="13"/>
        <w:gridCol w:w="3266"/>
        <w:gridCol w:w="32"/>
        <w:gridCol w:w="19"/>
        <w:gridCol w:w="994"/>
        <w:gridCol w:w="2120"/>
        <w:gridCol w:w="67"/>
        <w:gridCol w:w="30"/>
        <w:gridCol w:w="2313"/>
      </w:tblGrid>
      <w:tr>
        <w:trPr>
          <w:trHeight w:val="562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Связь с показателями*</w:t>
            </w:r>
          </w:p>
        </w:tc>
      </w:tr>
      <w:tr>
        <w:trPr>
          <w:trHeight w:val="17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264" w:hRule="atLeast"/>
        </w:trPr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8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firstLine="85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Региональный проект «Формирование комфортной городской среды»</w:t>
            </w:r>
          </w:p>
        </w:tc>
      </w:tr>
      <w:tr>
        <w:trPr>
          <w:trHeight w:val="264" w:hRule="atLeast"/>
        </w:trPr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Руководитель регионального проекта (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Федоренков Алексей Витальевич, председатель Комитета по ГХ и ПК г. Десногорска)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рок реализации (2018-2027)</w:t>
            </w:r>
          </w:p>
        </w:tc>
      </w:tr>
      <w:tr>
        <w:trPr>
          <w:trHeight w:val="264" w:hRule="atLeast"/>
        </w:trPr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Задача 1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Повышение уровня благоустройства дворовых территорий муниципального образования «город Десногорск» Смоленской области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Увеличение количества благоустроенных дворовых территорий муниципального образования «город Десногорск» Смоленской области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hanging="1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Количество благоустроенных дворовых территорий</w:t>
            </w:r>
          </w:p>
        </w:tc>
      </w:tr>
      <w:tr>
        <w:trPr>
          <w:trHeight w:val="264" w:hRule="atLeast"/>
        </w:trPr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Задача 2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Повышение уровня благоустройства общественных территорий муниципального образования «город Десногорск» Смоленской области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Увеличение количества благоустроенных общественных территорий муниципального образования «город Десногорск» См-оленской области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 w:before="0" w:after="200"/>
              <w:ind w:hang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Количество благоустроенных общественных территорий; 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</w:tr>
      <w:tr>
        <w:trPr>
          <w:trHeight w:val="264" w:hRule="atLeast"/>
        </w:trPr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8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firstLine="85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Ведомственный проект «Повышение эстетического и функционального уровня территорий»</w:t>
            </w:r>
          </w:p>
        </w:tc>
      </w:tr>
      <w:tr>
        <w:trPr>
          <w:trHeight w:val="264" w:hRule="atLeast"/>
        </w:trPr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Руководитель ведомственного проекта (Федоренков Алексей Витальевич, зам.главы-председатель Комитета по ГХ и ПК г. Десногорска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Срок реализации: 2024-2027 год</w:t>
            </w:r>
          </w:p>
        </w:tc>
      </w:tr>
      <w:tr>
        <w:trPr>
          <w:trHeight w:val="247" w:hRule="atLeast"/>
        </w:trPr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Задача 1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количество обустроенных детских площадок на территории муниципального образования «город Десногорск» Смоленской области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Увеличение количества детских игровых площадок на территорий муниципального образования «город Десногорск» Смоленской области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Количество детских игровых площадок</w:t>
            </w:r>
          </w:p>
        </w:tc>
      </w:tr>
      <w:tr>
        <w:trPr>
          <w:trHeight w:val="247" w:hRule="atLeast"/>
        </w:trPr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Задача 2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Повышение уровня оснащенности общественных территорий муниципального образования «город Десногорск» Смоленской области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Повышение уровня оснащенности  общественных территорий муниципального образования «город Десногорск» Смоленской области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 w:before="0" w:after="200"/>
              <w:ind w:hang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Количество благоустроенных общественных территорий;</w:t>
            </w:r>
          </w:p>
        </w:tc>
      </w:tr>
      <w:tr>
        <w:trPr>
          <w:trHeight w:val="247" w:hRule="atLeast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8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Комплекс процессных мероприятий «Повышение уровня благоустройства общественных и дворовых территорий»</w:t>
            </w:r>
          </w:p>
        </w:tc>
      </w:tr>
      <w:tr>
        <w:trPr>
          <w:trHeight w:val="956" w:hRule="atLeast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firstLine="851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8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Ответственный за выполнение комплекса процессных мероприятий Федоренков Алексей Витальевич, зам.главы-председатель Комитета по ГХ и ПК г. Десногорска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>
        <w:trPr>
          <w:trHeight w:val="247" w:hRule="atLeast"/>
        </w:trPr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292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Задача 1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Повышение уровня вовлечености заинтересованных граждан, в реализацию мероприятий по благоустройству территорий</w:t>
            </w:r>
          </w:p>
        </w:tc>
        <w:tc>
          <w:tcPr>
            <w:tcW w:w="3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и благоустройство общественных и дворовых территорий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28" w:before="0" w:after="200"/>
              <w:ind w:hang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</w:t>
            </w:r>
            <w:r>
              <w:rPr/>
              <w:t>;</w:t>
            </w:r>
          </w:p>
        </w:tc>
      </w:tr>
      <w:tr>
        <w:trPr>
          <w:trHeight w:val="448" w:hRule="atLeast"/>
        </w:trPr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Отдельные мероприятия</w:t>
            </w:r>
          </w:p>
        </w:tc>
      </w:tr>
      <w:tr>
        <w:trPr>
          <w:trHeight w:val="448" w:hRule="atLeast"/>
        </w:trPr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firstLine="851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n-US"/>
              </w:rPr>
              <w:t>Ответственный за реализацию отдельного мероприятия (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en-US"/>
              </w:rPr>
              <w:t>Ф.И.О. руководителя структурного подразделения Администрации, должность)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Срок реализации (год начала - год окончания)</w:t>
            </w:r>
          </w:p>
        </w:tc>
      </w:tr>
      <w:tr>
        <w:trPr>
          <w:trHeight w:val="247" w:hRule="atLeast"/>
        </w:trPr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1.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Задача 1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1.3. Раздел  4 Паспорта муниципальной программы «Финансовое обеспечение муниципальной программы»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</w:t>
      </w:r>
    </w:p>
    <w:tbl>
      <w:tblPr>
        <w:tblStyle w:val="10"/>
        <w:tblW w:w="4900" w:type="pct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4025"/>
        <w:gridCol w:w="1745"/>
        <w:gridCol w:w="1465"/>
        <w:gridCol w:w="1238"/>
        <w:gridCol w:w="1249"/>
      </w:tblGrid>
      <w:tr>
        <w:trPr>
          <w:tblHeader w:val="true"/>
        </w:trPr>
        <w:tc>
          <w:tcPr>
            <w:tcW w:w="402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7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24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  <w:tc>
          <w:tcPr>
            <w:tcW w:w="3952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Объем финансового обеспечения по годам реализации (тыс. рублей)</w:t>
            </w:r>
          </w:p>
        </w:tc>
      </w:tr>
      <w:tr>
        <w:trPr>
          <w:tblHeader w:val="true"/>
          <w:trHeight w:val="448" w:hRule="atLeast"/>
        </w:trPr>
        <w:tc>
          <w:tcPr>
            <w:tcW w:w="402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51"/>
              <w:jc w:val="center"/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r>
          </w:p>
        </w:tc>
        <w:tc>
          <w:tcPr>
            <w:tcW w:w="146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очередной финансовый год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2025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1-й год планового периода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2026</w:t>
            </w:r>
          </w:p>
        </w:tc>
        <w:tc>
          <w:tcPr>
            <w:tcW w:w="12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2-й год планового периода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2027</w:t>
            </w:r>
          </w:p>
        </w:tc>
      </w:tr>
      <w:tr>
        <w:trPr>
          <w:tblHeader w:val="true"/>
          <w:trHeight w:val="282" w:hRule="atLeast"/>
        </w:trPr>
        <w:tc>
          <w:tcPr>
            <w:tcW w:w="40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5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46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2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433" w:hRule="atLeast"/>
        </w:trPr>
        <w:tc>
          <w:tcPr>
            <w:tcW w:w="40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ind w:firstLine="45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Муниципальная программа «Формирование комфортной городской среды муниципального образования «город Десногорск» Смоленской области» (всего)</w:t>
            </w: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,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в том числе: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42 125,8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15 999,7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13 284,1</w:t>
            </w:r>
          </w:p>
        </w:tc>
        <w:tc>
          <w:tcPr>
            <w:tcW w:w="1249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12 842,0</w:t>
            </w:r>
          </w:p>
        </w:tc>
      </w:tr>
      <w:tr>
        <w:trPr>
          <w:trHeight w:val="284" w:hRule="atLeast"/>
        </w:trPr>
        <w:tc>
          <w:tcPr>
            <w:tcW w:w="4025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федеральный бюджет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32 280,5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11 195,1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10 757,1</w:t>
            </w:r>
          </w:p>
        </w:tc>
        <w:tc>
          <w:tcPr>
            <w:tcW w:w="12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10 328,3</w:t>
            </w:r>
          </w:p>
        </w:tc>
      </w:tr>
      <w:tr>
        <w:trPr/>
        <w:tc>
          <w:tcPr>
            <w:tcW w:w="4025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областной бюджет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7 248,2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-9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2 429,5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2 416,0</w:t>
            </w:r>
          </w:p>
        </w:tc>
        <w:tc>
          <w:tcPr>
            <w:tcW w:w="12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2 402,7</w:t>
            </w:r>
          </w:p>
        </w:tc>
      </w:tr>
      <w:tr>
        <w:trPr/>
        <w:tc>
          <w:tcPr>
            <w:tcW w:w="4025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местный бюджет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2 597,1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2 375,1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111,0</w:t>
            </w:r>
          </w:p>
        </w:tc>
        <w:tc>
          <w:tcPr>
            <w:tcW w:w="12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111,0</w:t>
            </w:r>
          </w:p>
        </w:tc>
      </w:tr>
      <w:tr>
        <w:trPr/>
        <w:tc>
          <w:tcPr>
            <w:tcW w:w="4025" w:type="dxa"/>
            <w:tcBorders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left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внебюджетные средства</w:t>
            </w:r>
          </w:p>
        </w:tc>
        <w:tc>
          <w:tcPr>
            <w:tcW w:w="1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  <w:tc>
          <w:tcPr>
            <w:tcW w:w="1249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1.4. Раздел 3 муниципальной программы «Паспорт ведомственного проекта» изложить в следующей редакции: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color w:val="000000"/>
          <w:spacing w:val="2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</w:t>
      </w:r>
      <w:r>
        <w:rPr>
          <w:rFonts w:eastAsia="Times New Roman" w:cs="Times New Roman" w:ascii="Times New Roman" w:hAnsi="Times New Roman"/>
          <w:b/>
          <w:color w:val="000000"/>
          <w:spacing w:val="20"/>
          <w:sz w:val="24"/>
          <w:szCs w:val="24"/>
        </w:rPr>
        <w:t>ПАСПОРТ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ведомственного проекта</w:t>
      </w:r>
    </w:p>
    <w:p>
      <w:pPr>
        <w:pStyle w:val="Normal"/>
        <w:tabs>
          <w:tab w:val="clear" w:pos="708"/>
          <w:tab w:val="left" w:pos="1701" w:leader="none"/>
          <w:tab w:val="left" w:pos="8505" w:leader="none"/>
        </w:tabs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u w:val="single"/>
        </w:rPr>
        <w:t>«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Повышение эстетического и функционального уровня территорий»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(наименование ведомственного проекта)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tbl>
      <w:tblPr>
        <w:tblStyle w:val="11"/>
        <w:tblW w:w="1017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60"/>
        <w:gridCol w:w="6909"/>
      </w:tblGrid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1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Ответственный исполнитель ведомственного проекта</w:t>
            </w:r>
          </w:p>
        </w:tc>
        <w:tc>
          <w:tcPr>
            <w:tcW w:w="690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412" w:leader="none"/>
              </w:tabs>
              <w:suppressAutoHyphens w:val="false"/>
              <w:spacing w:lineRule="auto" w:line="240"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Федоренков Алексей Витальевич, заместитель Главы-председатель Комитета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1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Соисполнители ведомственного проекта</w:t>
            </w:r>
          </w:p>
        </w:tc>
        <w:tc>
          <w:tcPr>
            <w:tcW w:w="690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Алейников Андрей Николаевич, директор муниципального бюджетного учреждения «Служба благоустройства» муниципального образования «город Десногорск» Смоленской области</w:t>
            </w:r>
          </w:p>
        </w:tc>
      </w:tr>
      <w:tr>
        <w:trPr>
          <w:trHeight w:val="691" w:hRule="atLeast"/>
        </w:trPr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1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Период реализации ведомственного проекта</w:t>
            </w:r>
          </w:p>
        </w:tc>
        <w:tc>
          <w:tcPr>
            <w:tcW w:w="69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2024-2027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1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Цели ведомственного проекта</w:t>
            </w:r>
          </w:p>
        </w:tc>
        <w:tc>
          <w:tcPr>
            <w:tcW w:w="690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both"/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Повышение уровня комфортности проживания граждан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17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Объемы финансового обеспечения за весь период реализации</w:t>
            </w:r>
          </w:p>
        </w:tc>
        <w:tc>
          <w:tcPr>
            <w:tcW w:w="69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Общий объем финансирования составляет  8 615,5 тыс. рублей, из них: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средства федерального бюджета – 0,0 тыс. рублей;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средства областного бюджета – 8 184,6 тыс. рублей;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средства местного бюджета – 430,9 тыс. рублей.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1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Влияние на достижение целей муниципальной  программы</w:t>
            </w:r>
          </w:p>
        </w:tc>
        <w:tc>
          <w:tcPr>
            <w:tcW w:w="690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благоустроенных объектов в муниципальном        образовании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1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Связь с муниципальной программой</w:t>
            </w:r>
          </w:p>
        </w:tc>
        <w:tc>
          <w:tcPr>
            <w:tcW w:w="690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Муниципальная программа «Формирование комфортной городской среды муниципального образования «город Десногорск» Смоленской области»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ind w:left="1848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2. Показатели ведомственного проекта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tbl>
      <w:tblPr>
        <w:tblStyle w:val="11"/>
        <w:tblW w:w="49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11"/>
        <w:gridCol w:w="1253"/>
        <w:gridCol w:w="2043"/>
        <w:gridCol w:w="1447"/>
        <w:gridCol w:w="1234"/>
        <w:gridCol w:w="1232"/>
      </w:tblGrid>
      <w:tr>
        <w:trPr>
          <w:tblHeader w:val="true"/>
        </w:trPr>
        <w:tc>
          <w:tcPr>
            <w:tcW w:w="2611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показателя</w:t>
            </w:r>
          </w:p>
        </w:tc>
        <w:tc>
          <w:tcPr>
            <w:tcW w:w="1253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23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2043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23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Базовое значение показателя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23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(в году, предшествующем очередному финансовому году)</w:t>
            </w:r>
          </w:p>
        </w:tc>
        <w:tc>
          <w:tcPr>
            <w:tcW w:w="3913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Планируемое значение показателя</w:t>
            </w:r>
          </w:p>
        </w:tc>
      </w:tr>
      <w:tr>
        <w:trPr>
          <w:tblHeader w:val="true"/>
          <w:trHeight w:val="448" w:hRule="atLeast"/>
        </w:trPr>
        <w:tc>
          <w:tcPr>
            <w:tcW w:w="2611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3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851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</w:r>
          </w:p>
        </w:tc>
        <w:tc>
          <w:tcPr>
            <w:tcW w:w="2043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851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</w:r>
          </w:p>
        </w:tc>
        <w:tc>
          <w:tcPr>
            <w:tcW w:w="144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очередной финансовый год 2025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1-й год планового периода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2026</w:t>
            </w:r>
          </w:p>
        </w:tc>
        <w:tc>
          <w:tcPr>
            <w:tcW w:w="123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2-й год планового периода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2027</w:t>
            </w:r>
          </w:p>
        </w:tc>
      </w:tr>
      <w:tr>
        <w:trPr>
          <w:tblHeader w:val="true"/>
          <w:trHeight w:val="282" w:hRule="atLeast"/>
        </w:trPr>
        <w:tc>
          <w:tcPr>
            <w:tcW w:w="2611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5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4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34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3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433" w:hRule="atLeast"/>
        </w:trPr>
        <w:tc>
          <w:tcPr>
            <w:tcW w:w="261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Количество обустроенных детских площадок на территории муниципального образования «город Десногорск» Смоленской области</w:t>
            </w:r>
          </w:p>
        </w:tc>
        <w:tc>
          <w:tcPr>
            <w:tcW w:w="12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04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firstLine="851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44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3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3.  Финансовое обеспечение ведомственного проекта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tbl>
      <w:tblPr>
        <w:tblStyle w:val="11"/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2"/>
        <w:gridCol w:w="961"/>
        <w:gridCol w:w="1462"/>
        <w:gridCol w:w="1242"/>
        <w:gridCol w:w="1245"/>
      </w:tblGrid>
      <w:tr>
        <w:trPr>
          <w:tblHeader w:val="true"/>
        </w:trPr>
        <w:tc>
          <w:tcPr>
            <w:tcW w:w="4812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ведомственного проекта / источник финансового обеспечения</w:t>
            </w:r>
          </w:p>
        </w:tc>
        <w:tc>
          <w:tcPr>
            <w:tcW w:w="961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3949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Объем финансового обеспечения по годам реализации (тыс. рублей)</w:t>
            </w:r>
          </w:p>
        </w:tc>
      </w:tr>
      <w:tr>
        <w:trPr>
          <w:tblHeader w:val="true"/>
          <w:trHeight w:val="448" w:hRule="atLeast"/>
        </w:trPr>
        <w:tc>
          <w:tcPr>
            <w:tcW w:w="4812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1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очередной финансовый год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2025</w:t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1-й год планового периода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2026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2-й год планового периода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2027</w:t>
            </w:r>
          </w:p>
        </w:tc>
      </w:tr>
      <w:tr>
        <w:trPr>
          <w:tblHeader w:val="true"/>
          <w:trHeight w:val="282" w:hRule="atLeast"/>
        </w:trPr>
        <w:tc>
          <w:tcPr>
            <w:tcW w:w="481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24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433" w:hRule="atLeast"/>
        </w:trPr>
        <w:tc>
          <w:tcPr>
            <w:tcW w:w="481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701" w:leader="none"/>
                <w:tab w:val="left" w:pos="8505" w:leader="none"/>
              </w:tabs>
              <w:suppressAutoHyphens w:val="false"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«Повышение эстетического и функционального уровня территорий» (всего)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,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в том числе:</w:t>
            </w:r>
          </w:p>
        </w:tc>
        <w:tc>
          <w:tcPr>
            <w:tcW w:w="9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6 579,0</w:t>
            </w:r>
          </w:p>
        </w:tc>
        <w:tc>
          <w:tcPr>
            <w:tcW w:w="14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2 193,0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2 193,0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2 193,0</w:t>
            </w:r>
          </w:p>
        </w:tc>
      </w:tr>
      <w:tr>
        <w:trPr/>
        <w:tc>
          <w:tcPr>
            <w:tcW w:w="481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9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46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24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  <w:tc>
          <w:tcPr>
            <w:tcW w:w="124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</w:tr>
      <w:tr>
        <w:trPr/>
        <w:tc>
          <w:tcPr>
            <w:tcW w:w="481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9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6 249,9</w:t>
            </w:r>
          </w:p>
        </w:tc>
        <w:tc>
          <w:tcPr>
            <w:tcW w:w="14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2 083,3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2 083,3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2 083,3</w:t>
            </w:r>
          </w:p>
        </w:tc>
      </w:tr>
      <w:tr>
        <w:trPr/>
        <w:tc>
          <w:tcPr>
            <w:tcW w:w="481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96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329,1</w:t>
            </w:r>
          </w:p>
        </w:tc>
        <w:tc>
          <w:tcPr>
            <w:tcW w:w="14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109,7</w:t>
            </w:r>
          </w:p>
        </w:tc>
        <w:tc>
          <w:tcPr>
            <w:tcW w:w="12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109,7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109,7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1.5. Раздел 4 муниципальной программы «Паспорта комплексов процессных мероприятий»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pacing w:val="2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pacing w:val="20"/>
          <w:sz w:val="24"/>
          <w:szCs w:val="24"/>
        </w:rPr>
        <w:t>ПАСПОРТ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комплекса процессных мероприятий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u w:val="single"/>
        </w:rPr>
        <w:t>1. «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Повышение уровня благоустройства общественных и дворовых территорий»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(наименование комплекса процессных мероприятий)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1. Общие положения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tbl>
      <w:tblPr>
        <w:tblStyle w:val="12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23"/>
        <w:gridCol w:w="4897"/>
      </w:tblGrid>
      <w:tr>
        <w:trPr>
          <w:trHeight w:val="516" w:hRule="atLeast"/>
        </w:trPr>
        <w:tc>
          <w:tcPr>
            <w:tcW w:w="502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Ответственный за выполнение комплекса процессных мероприятий</w:t>
            </w:r>
          </w:p>
        </w:tc>
        <w:tc>
          <w:tcPr>
            <w:tcW w:w="489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Федоренков Алексей Витальевич, заместитель Главы-председатель Комитета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</w:p>
        </w:tc>
      </w:tr>
      <w:tr>
        <w:trPr>
          <w:trHeight w:val="700" w:hRule="atLeast"/>
        </w:trPr>
        <w:tc>
          <w:tcPr>
            <w:tcW w:w="5023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Связь с муниципальной программой</w:t>
            </w:r>
          </w:p>
        </w:tc>
        <w:tc>
          <w:tcPr>
            <w:tcW w:w="4897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Муниципальная программа «Формирование комфортной городской среды муниципального образования «город Десногорск» Смоленской области»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2. Показатели реализации комплекса процессных мероприятий 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 </w:t>
      </w:r>
    </w:p>
    <w:tbl>
      <w:tblPr>
        <w:tblStyle w:val="12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68"/>
        <w:gridCol w:w="836"/>
        <w:gridCol w:w="1387"/>
        <w:gridCol w:w="1248"/>
        <w:gridCol w:w="1249"/>
        <w:gridCol w:w="972"/>
        <w:gridCol w:w="2460"/>
      </w:tblGrid>
      <w:tr>
        <w:trPr>
          <w:tblHeader w:val="true"/>
        </w:trPr>
        <w:tc>
          <w:tcPr>
            <w:tcW w:w="1768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показателя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реализации</w:t>
            </w:r>
          </w:p>
        </w:tc>
        <w:tc>
          <w:tcPr>
            <w:tcW w:w="836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1387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Базовое значение показателя реализации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(к очередному финансовому году)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2024</w:t>
            </w:r>
          </w:p>
        </w:tc>
        <w:tc>
          <w:tcPr>
            <w:tcW w:w="3469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2460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left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Ответственный за достижение показателя</w:t>
            </w:r>
          </w:p>
        </w:tc>
      </w:tr>
      <w:tr>
        <w:trPr>
          <w:tblHeader w:val="true"/>
          <w:trHeight w:val="448" w:hRule="atLeast"/>
        </w:trPr>
        <w:tc>
          <w:tcPr>
            <w:tcW w:w="176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3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</w:r>
          </w:p>
        </w:tc>
        <w:tc>
          <w:tcPr>
            <w:tcW w:w="1387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</w:r>
          </w:p>
        </w:tc>
        <w:tc>
          <w:tcPr>
            <w:tcW w:w="124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очередной финансовый год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2025</w:t>
            </w:r>
          </w:p>
        </w:tc>
        <w:tc>
          <w:tcPr>
            <w:tcW w:w="124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1-й год планового периода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2026</w:t>
            </w:r>
          </w:p>
        </w:tc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-й год планового периода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22272F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027</w:t>
            </w:r>
          </w:p>
        </w:tc>
        <w:tc>
          <w:tcPr>
            <w:tcW w:w="2460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color w:val="22272F"/>
                <w:sz w:val="24"/>
                <w:szCs w:val="24"/>
                <w:shd w:fill="FFFFFF" w:val="clear"/>
              </w:rPr>
            </w:pPr>
            <w:r>
              <w:rPr>
                <w:color w:val="22272F"/>
                <w:sz w:val="24"/>
                <w:szCs w:val="24"/>
                <w:shd w:fill="FFFFFF" w:val="clear"/>
              </w:rPr>
            </w:r>
          </w:p>
        </w:tc>
      </w:tr>
      <w:tr>
        <w:trPr>
          <w:tblHeader w:val="true"/>
          <w:trHeight w:val="282" w:hRule="atLeast"/>
        </w:trPr>
        <w:tc>
          <w:tcPr>
            <w:tcW w:w="176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387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24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249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972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</w:tr>
      <w:tr>
        <w:trPr>
          <w:trHeight w:val="433" w:hRule="atLeast"/>
        </w:trPr>
        <w:tc>
          <w:tcPr>
            <w:tcW w:w="176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Количество благоустроенных дворовых территорий</w:t>
            </w:r>
          </w:p>
        </w:tc>
        <w:tc>
          <w:tcPr>
            <w:tcW w:w="83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13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24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24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72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460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Алейников Андрей Николаевич, директор муниципального бюджетного учреждения «Служба благоустройства» муниципального образования «город Десногорск» Смоленской области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1.6. Раздел 6 «Сведения о финансировании структурных элементов муниципальной программы» изложить в следующей редакции: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Раздел 6 «СВЕДЕНИЯ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>Формирование комфортной городской среды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муниципального образования «город Десногорск» Смоленской области»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муниципальной программы)</w:t>
      </w:r>
    </w:p>
    <w:tbl>
      <w:tblPr>
        <w:tblW w:w="10916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8"/>
        <w:gridCol w:w="142"/>
        <w:gridCol w:w="1560"/>
        <w:gridCol w:w="1702"/>
        <w:gridCol w:w="991"/>
        <w:gridCol w:w="1135"/>
        <w:gridCol w:w="1283"/>
        <w:gridCol w:w="1276"/>
        <w:gridCol w:w="1267"/>
      </w:tblGrid>
      <w:tr>
        <w:trPr>
          <w:trHeight w:val="457" w:hRule="atLeast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Участник муниципальной 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>
        <w:trPr>
          <w:trHeight w:val="327" w:hRule="atLeast"/>
        </w:trPr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72F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очередной финансовый год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72F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1-й год планового периода</w:t>
            </w:r>
          </w:p>
          <w:p>
            <w:pPr>
              <w:pStyle w:val="Normal"/>
              <w:spacing w:lineRule="auto" w:line="240" w:before="0" w:after="0"/>
              <w:ind w:firstLine="3652" w:left="-3652"/>
              <w:jc w:val="center"/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2026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2272F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2-й год планового периода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72F"/>
                <w:sz w:val="20"/>
                <w:szCs w:val="20"/>
                <w:shd w:fill="FFFFFF" w:val="clear"/>
              </w:rPr>
              <w:t>2027</w:t>
            </w:r>
          </w:p>
        </w:tc>
      </w:tr>
      <w:tr>
        <w:trPr>
          <w:trHeight w:val="80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</w:tr>
      <w:tr>
        <w:trPr>
          <w:trHeight w:val="468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Региональный проект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924" w:hRule="atLeast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«Формирование комфортной городской среды»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1 Количество благоустроенных дворовых территорий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2 Количество благоустроенных общественных территорий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3 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320" w:hRule="atLeast"/>
        </w:trPr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1.1. Реализация программ формирования современной городской среды</w:t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Комитет ГХ и ПК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г. Десногорска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32 280,5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11 195,1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10 757,1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10 328,3</w:t>
            </w:r>
          </w:p>
        </w:tc>
      </w:tr>
      <w:tr>
        <w:trPr>
          <w:trHeight w:val="219" w:hRule="atLeast"/>
        </w:trPr>
        <w:tc>
          <w:tcPr>
            <w:tcW w:w="15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998,3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346,2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332,7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319,4</w:t>
            </w:r>
          </w:p>
        </w:tc>
      </w:tr>
      <w:tr>
        <w:trPr>
          <w:trHeight w:val="219" w:hRule="atLeast"/>
        </w:trPr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1,3</w:t>
            </w:r>
          </w:p>
        </w:tc>
      </w:tr>
      <w:tr>
        <w:trPr>
          <w:trHeight w:val="265" w:hRule="atLeast"/>
        </w:trPr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4" w:right="-108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Итого по региональному проекту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33 282,5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11 542,4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11 091,1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10 649,0</w:t>
            </w:r>
          </w:p>
        </w:tc>
      </w:tr>
      <w:tr>
        <w:trPr>
          <w:trHeight w:val="245" w:hRule="atLeast"/>
        </w:trPr>
        <w:tc>
          <w:tcPr>
            <w:tcW w:w="17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Ведомственный проект «Повышение эстетического и функционального уровня территорий»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197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1 Увеличение количества детских игровых площадок на территорий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</w:tr>
      <w:tr>
        <w:trPr>
          <w:trHeight w:val="853" w:hRule="atLeast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1.1. Устройство детских игровых площадок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6 249,9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2 083,3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2 083,3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2 083,3</w:t>
            </w:r>
          </w:p>
        </w:tc>
      </w:tr>
      <w:tr>
        <w:trPr>
          <w:trHeight w:val="285" w:hRule="atLeast"/>
        </w:trPr>
        <w:tc>
          <w:tcPr>
            <w:tcW w:w="17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329,1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109,7</w:t>
            </w:r>
          </w:p>
        </w:tc>
      </w:tr>
      <w:tr>
        <w:trPr>
          <w:trHeight w:val="235" w:hRule="atLeast"/>
        </w:trPr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Итого по ведомственному проекту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6 579,0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2 193,0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2 193,0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2 193,0</w:t>
            </w:r>
          </w:p>
        </w:tc>
      </w:tr>
      <w:tr>
        <w:trPr>
          <w:trHeight w:val="269" w:hRule="atLeast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Комплекс процессных мероприятий «Повышение уровня благоустройства общественных и дворовых территорий»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9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Результат 1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36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Мероприятие 1.1. Ремонт и благоустройство общественных и дворовых территорий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2 264,3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2 264,3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</w:tr>
      <w:tr>
        <w:trPr>
          <w:trHeight w:val="203" w:hRule="atLeast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Итого по комплексу процессных мероприятий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2 264,3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2 264,3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0,0</w:t>
            </w:r>
          </w:p>
        </w:tc>
      </w:tr>
      <w:tr>
        <w:trPr>
          <w:trHeight w:val="253" w:hRule="atLeast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Отдельные 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42 125,8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15 999,7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13 284,1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12 842,0</w:t>
            </w:r>
          </w:p>
        </w:tc>
      </w:tr>
      <w:tr>
        <w:trPr>
          <w:trHeight w:val="113" w:hRule="atLeast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32 280,5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11 195,1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10 757,1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10 328,3</w:t>
            </w:r>
          </w:p>
        </w:tc>
      </w:tr>
      <w:tr>
        <w:trPr>
          <w:trHeight w:val="113" w:hRule="atLeast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7 248,2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right="-91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2 429,5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2 416,0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2 402,7</w:t>
            </w:r>
          </w:p>
        </w:tc>
      </w:tr>
      <w:tr>
        <w:trPr>
          <w:trHeight w:val="113" w:hRule="atLeast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местные бюджеты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2 597,1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2 375,1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111,0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111,0</w:t>
            </w:r>
          </w:p>
        </w:tc>
      </w:tr>
      <w:tr>
        <w:trPr>
          <w:trHeight w:val="113" w:hRule="atLeast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И.о. руководителя муниципального казённого учреждения «Централизованная бухгалтерия» муниципального образования «город Десногорск» Смоленской области М.В. Лекторовой в течение 10 календарных дней разместить на портале ГАС Управление актуализированную муниципальную программу «Формирование комфортной городской среды муниципального образования «город Десногорск» Смоленской области».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 Отделу информационных технологий и связи с общественностью              Администрации муниципального образования «город Десногорск» Смоленской области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 телекоммукационной сети Интернет.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4. Контроль исполнения пункта 2 настоящего постановления возложить на </w:t>
      </w:r>
      <w:r>
        <w:rPr>
          <w:rFonts w:eastAsia="Times New Roman" w:cs="Times New Roman" w:ascii="Times New Roman" w:hAnsi="Times New Roman"/>
          <w:sz w:val="24"/>
          <w:szCs w:val="24"/>
        </w:rPr>
        <w:t>начальника отдела экономики и инвестиций Администраии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муниципального образования «город Десногорск» Смоленской области </w:t>
      </w:r>
      <w:r>
        <w:rPr>
          <w:rFonts w:eastAsia="Times New Roman" w:cs="Times New Roman" w:ascii="Times New Roman" w:hAnsi="Times New Roman"/>
          <w:sz w:val="24"/>
          <w:szCs w:val="24"/>
        </w:rPr>
        <w:t>Е.О. Гончарову.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 Контроль исполнения настоящего постановления возложить на заместителя Главы муниципального образования-председателя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А.В. Федоренкова.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Глава муниципального образования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«город Десногорск» Смоленской области                                                      </w:t>
      </w:r>
      <w:bookmarkStart w:id="0" w:name="_GoBack"/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bookmarkEnd w:id="0"/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А.А</w:t>
      </w:r>
      <w:r>
        <w:rPr>
          <w:rFonts w:eastAsia="Times New Roman" w:cs="Times New Roman" w:ascii="Times New Roman" w:hAnsi="Times New Roman"/>
          <w:b/>
          <w:sz w:val="28"/>
          <w:szCs w:val="24"/>
        </w:rPr>
        <w:t>. Терлецкий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567" w:gutter="0" w:header="295" w:top="1134" w:footer="0" w:bottom="1134"/>
      <w:pgNumType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spacing w:before="0" w:after="20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193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9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25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1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link w:val="21"/>
    <w:semiHidden/>
    <w:unhideWhenUsed/>
    <w:qFormat/>
    <w:rsid w:val="000317c6"/>
    <w:pPr>
      <w:keepNext w:val="true"/>
      <w:spacing w:lineRule="auto" w:line="240" w:before="0" w:after="0"/>
      <w:ind w:left="708"/>
      <w:outlineLvl w:val="1"/>
    </w:pPr>
    <w:rPr>
      <w:rFonts w:ascii="Times New Roman" w:hAnsi="Times New Roman" w:eastAsia="Arial Unicode MS" w:cs="Times New Roman"/>
      <w:sz w:val="28"/>
      <w:szCs w:val="20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0317c6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Arial Unicode MS" w:cs="Times New Roman"/>
      <w:b/>
      <w:sz w:val="36"/>
      <w:szCs w:val="20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0317c6"/>
    <w:pPr>
      <w:keepNext w:val="true"/>
      <w:spacing w:lineRule="auto" w:line="240" w:before="0" w:after="0"/>
      <w:jc w:val="center"/>
      <w:outlineLvl w:val="3"/>
    </w:pPr>
    <w:rPr>
      <w:rFonts w:ascii="Times New Roman" w:hAnsi="Times New Roman" w:eastAsia="Arial Unicode MS" w:cs="Times New Roman"/>
      <w:b/>
      <w:sz w:val="44"/>
      <w:szCs w:val="20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0317c6"/>
    <w:pPr>
      <w:keepNext w:val="true"/>
      <w:spacing w:lineRule="auto" w:line="240" w:before="0" w:after="0"/>
      <w:jc w:val="center"/>
      <w:outlineLvl w:val="5"/>
    </w:pPr>
    <w:rPr>
      <w:rFonts w:ascii="Times New Roman" w:hAnsi="Times New Roman" w:eastAsia="Arial Unicode MS" w:cs="Times New Roman"/>
      <w:b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d30e5a"/>
    <w:rPr>
      <w:rFonts w:ascii="Calibri" w:hAnsi="Calibri" w:eastAsia="Calibri" w:cs="Times New Roman"/>
      <w:lang w:eastAsia="en-US"/>
    </w:rPr>
  </w:style>
  <w:style w:type="character" w:styleId="Style11" w:customStyle="1">
    <w:name w:val="Нижний колонтитул Знак"/>
    <w:basedOn w:val="DefaultParagraphFont"/>
    <w:uiPriority w:val="99"/>
    <w:qFormat/>
    <w:rsid w:val="00d30e5a"/>
    <w:rPr>
      <w:rFonts w:ascii="Calibri" w:hAnsi="Calibri" w:eastAsia="Calibri" w:cs="Times New Roman"/>
      <w:lang w:eastAsia="en-US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d30e5a"/>
    <w:rPr>
      <w:rFonts w:ascii="Tahoma" w:hAnsi="Tahoma" w:eastAsia="Calibri" w:cs="Times New Roman"/>
      <w:sz w:val="16"/>
      <w:szCs w:val="16"/>
      <w:lang w:eastAsia="en-US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semiHidden/>
    <w:qFormat/>
    <w:rsid w:val="00d30e5a"/>
    <w:rPr>
      <w:rFonts w:ascii="Calibri" w:hAnsi="Calibri" w:eastAsia="Calibri" w:cs="Times New Roman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30e5a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d30e5a"/>
    <w:rPr>
      <w:rFonts w:ascii="Calibri" w:hAnsi="Calibri" w:eastAsia="Calibri" w:cs="Times New Roman"/>
      <w:sz w:val="20"/>
      <w:szCs w:val="20"/>
      <w:lang w:eastAsia="en-US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d30e5a"/>
    <w:rPr>
      <w:rFonts w:ascii="Calibri" w:hAnsi="Calibri" w:eastAsia="Calibri" w:cs="Times New Roman"/>
      <w:b/>
      <w:bCs/>
      <w:sz w:val="20"/>
      <w:szCs w:val="20"/>
      <w:lang w:eastAsia="en-US"/>
    </w:rPr>
  </w:style>
  <w:style w:type="character" w:styleId="Pagenumber">
    <w:name w:val="page number"/>
    <w:basedOn w:val="DefaultParagraphFont"/>
    <w:qFormat/>
    <w:rsid w:val="00d30e5a"/>
    <w:rPr/>
  </w:style>
  <w:style w:type="character" w:styleId="21" w:customStyle="1">
    <w:name w:val="Заголовок 2 Знак"/>
    <w:basedOn w:val="DefaultParagraphFont"/>
    <w:semiHidden/>
    <w:qFormat/>
    <w:rsid w:val="000317c6"/>
    <w:rPr>
      <w:rFonts w:ascii="Times New Roman" w:hAnsi="Times New Roman" w:eastAsia="Arial Unicode MS" w:cs="Times New Roman"/>
      <w:sz w:val="28"/>
      <w:szCs w:val="20"/>
    </w:rPr>
  </w:style>
  <w:style w:type="character" w:styleId="3" w:customStyle="1">
    <w:name w:val="Заголовок 3 Знак"/>
    <w:basedOn w:val="DefaultParagraphFont"/>
    <w:semiHidden/>
    <w:qFormat/>
    <w:rsid w:val="000317c6"/>
    <w:rPr>
      <w:rFonts w:ascii="Times New Roman" w:hAnsi="Times New Roman" w:eastAsia="Arial Unicode MS" w:cs="Times New Roman"/>
      <w:b/>
      <w:sz w:val="36"/>
      <w:szCs w:val="20"/>
    </w:rPr>
  </w:style>
  <w:style w:type="character" w:styleId="4" w:customStyle="1">
    <w:name w:val="Заголовок 4 Знак"/>
    <w:basedOn w:val="DefaultParagraphFont"/>
    <w:semiHidden/>
    <w:qFormat/>
    <w:rsid w:val="000317c6"/>
    <w:rPr>
      <w:rFonts w:ascii="Times New Roman" w:hAnsi="Times New Roman" w:eastAsia="Arial Unicode MS" w:cs="Times New Roman"/>
      <w:b/>
      <w:sz w:val="44"/>
      <w:szCs w:val="20"/>
    </w:rPr>
  </w:style>
  <w:style w:type="character" w:styleId="6" w:customStyle="1">
    <w:name w:val="Заголовок 6 Знак"/>
    <w:basedOn w:val="DefaultParagraphFont"/>
    <w:semiHidden/>
    <w:qFormat/>
    <w:rsid w:val="000317c6"/>
    <w:rPr>
      <w:rFonts w:ascii="Times New Roman" w:hAnsi="Times New Roman" w:eastAsia="Arial Unicode MS" w:cs="Times New Roman"/>
      <w:bCs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2be0"/>
    <w:rPr>
      <w:color w:val="0000FF"/>
      <w:u w:val="single"/>
    </w:rPr>
  </w:style>
  <w:style w:type="character" w:styleId="Markedcontent" w:customStyle="1">
    <w:name w:val="markedcontent"/>
    <w:basedOn w:val="DefaultParagraphFont"/>
    <w:qFormat/>
    <w:rsid w:val="00ab3e6a"/>
    <w:rPr/>
  </w:style>
  <w:style w:type="character" w:styleId="ConsPlusNormal" w:customStyle="1">
    <w:name w:val="ConsPlusNormal Знак"/>
    <w:link w:val="ConsPlusNormal1"/>
    <w:qFormat/>
    <w:locked/>
    <w:rsid w:val="0010083c"/>
    <w:rPr>
      <w:rFonts w:ascii="Calibri" w:hAnsi="Calibri" w:eastAsia="Times New Roman" w:cs="Calibri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"/>
    <w:qFormat/>
    <w:rsid w:val="00d30e5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d30e5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d30e5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d30e5a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  <w:lang w:eastAsia="en-US"/>
    </w:rPr>
  </w:style>
  <w:style w:type="paragraph" w:styleId="Footer">
    <w:name w:val="Footer"/>
    <w:basedOn w:val="Normal"/>
    <w:link w:val="Style11"/>
    <w:uiPriority w:val="99"/>
    <w:unhideWhenUsed/>
    <w:rsid w:val="00d30e5a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  <w:lang w:eastAsia="en-US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d30e5a"/>
    <w:pPr>
      <w:spacing w:lineRule="auto" w:line="240" w:before="0" w:after="0"/>
    </w:pPr>
    <w:rPr>
      <w:rFonts w:ascii="Tahoma" w:hAnsi="Tahoma" w:eastAsia="Calibri" w:cs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2"/>
    <w:uiPriority w:val="99"/>
    <w:semiHidden/>
    <w:unhideWhenUsed/>
    <w:qFormat/>
    <w:rsid w:val="00d30e5a"/>
    <w:pPr>
      <w:spacing w:lineRule="auto" w:line="480" w:before="0" w:after="120"/>
      <w:ind w:left="283"/>
    </w:pPr>
    <w:rPr>
      <w:rFonts w:ascii="Calibri" w:hAnsi="Calibri" w:eastAsia="Calibri" w:cs="Times New Roman"/>
      <w:lang w:eastAsia="en-US"/>
    </w:rPr>
  </w:style>
  <w:style w:type="paragraph" w:styleId="Style18" w:customStyle="1">
    <w:name w:val="Знак"/>
    <w:basedOn w:val="Normal"/>
    <w:qFormat/>
    <w:rsid w:val="00d30e5a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styleId="ConsPlusTitle" w:customStyle="1">
    <w:name w:val="ConsPlusTitle"/>
    <w:qFormat/>
    <w:rsid w:val="00d30e5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d30e5a"/>
    <w:pPr/>
    <w:rPr>
      <w:rFonts w:ascii="Calibri" w:hAnsi="Calibri" w:eastAsia="Calibri" w:cs="Times New Roman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d30e5a"/>
    <w:pPr/>
    <w:rPr>
      <w:b/>
      <w:bCs/>
    </w:rPr>
  </w:style>
  <w:style w:type="paragraph" w:styleId="NoSpacing">
    <w:name w:val="No Spacing"/>
    <w:uiPriority w:val="1"/>
    <w:qFormat/>
    <w:rsid w:val="0068641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qFormat/>
    <w:rsid w:val="006b3ecb"/>
    <w:pPr>
      <w:spacing w:before="0" w:after="200"/>
      <w:ind w:left="720"/>
      <w:contextualSpacing/>
    </w:pPr>
    <w:rPr/>
  </w:style>
  <w:style w:type="paragraph" w:styleId="Formattext" w:customStyle="1">
    <w:name w:val="formattext"/>
    <w:basedOn w:val="Normal"/>
    <w:qFormat/>
    <w:rsid w:val="009163e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f6c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1" w:customStyle="1">
    <w:name w:val="s_1"/>
    <w:basedOn w:val="Normal"/>
    <w:qFormat/>
    <w:rsid w:val="00fd24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" w:customStyle="1">
    <w:name w:val="Обычный1"/>
    <w:qFormat/>
    <w:rsid w:val="002f2ae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Style20" w:customStyle="1">
    <w:name w:val="Верхний колонтитул слева"/>
    <w:basedOn w:val="Header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d30e5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ca7710"/>
    <w:rPr>
      <w:rFonts w:eastAsiaTheme="minorHAnsi"/>
      <w:lang w:eastAsia="en-US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ac1d55"/>
    <w:rPr>
      <w:sz w:val="28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39"/>
    <w:rsid w:val="00600db7"/>
    <w:rPr>
      <w:sz w:val="28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3CD5A-60CC-43CF-A8CB-C680A016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Application>LibreOffice/7.6.7.2$Linux_X86_64 LibreOffice_project/60$Build-2</Application>
  <AppVersion>15.0000</AppVersion>
  <Pages>9</Pages>
  <Words>1663</Words>
  <Characters>12065</Characters>
  <CharactersWithSpaces>13822</CharactersWithSpaces>
  <Paragraphs>370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2023-05-17T06:33:00Z</dcterms:created>
  <dc:creator>Начальник юр. отдела</dc:creator>
  <dc:description/>
  <dc:language>ru-RU</dc:language>
  <cp:lastModifiedBy/>
  <cp:lastPrinted>2025-02-25T14:16:00Z</cp:lastPrinted>
  <dcterms:modified xsi:type="dcterms:W3CDTF">2026-02-03T09:46:56Z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