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156BA" wp14:editId="26B8DF49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5209" w:rsidRPr="00DF4302" w:rsidRDefault="003F5209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3F5209" w:rsidRPr="00DF4302" w:rsidRDefault="003F5209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:rsidR="003F5209" w:rsidRPr="00DF4302" w:rsidRDefault="003F5209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3F5209" w:rsidRDefault="003F5209" w:rsidP="00F800DF">
                            <w:pPr>
                              <w:jc w:val="center"/>
                            </w:pPr>
                          </w:p>
                          <w:p w:rsidR="003F5209" w:rsidRDefault="003F5209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F5209" w:rsidRDefault="003F5209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F5209" w:rsidRDefault="003F5209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F5209" w:rsidRDefault="003F5209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F5209" w:rsidRDefault="003F5209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3F5209" w:rsidRPr="00DF4302" w:rsidRDefault="003F5209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:rsidR="003F5209" w:rsidRPr="00DF4302" w:rsidRDefault="003F5209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:rsidR="003F5209" w:rsidRPr="00DF4302" w:rsidRDefault="003F5209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3F5209" w:rsidRDefault="003F5209" w:rsidP="00F800DF">
                      <w:pPr>
                        <w:jc w:val="center"/>
                      </w:pPr>
                    </w:p>
                    <w:p w:rsidR="003F5209" w:rsidRDefault="003F5209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F5209" w:rsidRDefault="003F5209" w:rsidP="00F800DF">
                      <w:pPr>
                        <w:rPr>
                          <w:sz w:val="12"/>
                        </w:rPr>
                      </w:pPr>
                    </w:p>
                    <w:p w:rsidR="003F5209" w:rsidRDefault="003F5209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F5209" w:rsidRDefault="003F5209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F5209" w:rsidRDefault="003F5209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5AB276" wp14:editId="3B7D228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00DF" w:rsidRPr="00F800DF" w:rsidRDefault="001C772D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72D">
        <w:rPr>
          <w:rFonts w:ascii="Times New Roman" w:eastAsia="Times New Roman" w:hAnsi="Times New Roman" w:cs="Times New Roman"/>
          <w:sz w:val="24"/>
          <w:szCs w:val="20"/>
        </w:rPr>
        <w:t>от__</w:t>
      </w:r>
      <w:r w:rsidR="002E0EAB" w:rsidRPr="002E0EAB">
        <w:rPr>
          <w:rFonts w:ascii="Times New Roman" w:eastAsia="Times New Roman" w:hAnsi="Times New Roman" w:cs="Times New Roman"/>
          <w:sz w:val="24"/>
          <w:szCs w:val="20"/>
          <w:u w:val="single"/>
        </w:rPr>
        <w:t>27.10.2025</w:t>
      </w:r>
      <w:r w:rsidRPr="001C772D">
        <w:rPr>
          <w:rFonts w:ascii="Times New Roman" w:eastAsia="Times New Roman" w:hAnsi="Times New Roman" w:cs="Times New Roman"/>
          <w:sz w:val="24"/>
          <w:szCs w:val="20"/>
        </w:rPr>
        <w:t>___________№__</w:t>
      </w:r>
      <w:r w:rsidR="002E0EAB" w:rsidRPr="002E0EAB">
        <w:rPr>
          <w:rFonts w:ascii="Times New Roman" w:eastAsia="Times New Roman" w:hAnsi="Times New Roman" w:cs="Times New Roman"/>
          <w:sz w:val="24"/>
          <w:szCs w:val="20"/>
          <w:u w:val="single"/>
        </w:rPr>
        <w:t>1163</w:t>
      </w:r>
      <w:r w:rsidRPr="001C772D">
        <w:rPr>
          <w:rFonts w:ascii="Times New Roman" w:eastAsia="Times New Roman" w:hAnsi="Times New Roman" w:cs="Times New Roman"/>
          <w:sz w:val="24"/>
          <w:szCs w:val="20"/>
        </w:rPr>
        <w:t>__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7453F9" w:rsidP="007453F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      от 31.12.2013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0DF" w:rsidRPr="00F800DF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 области, признании </w:t>
      </w:r>
      <w:proofErr w:type="gramStart"/>
      <w:r w:rsidRPr="00F800DF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правовых актов» и в целях реализации мероприятий муниципальной программы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ред. от 04.07.2014                  № 811, от 18.11.2014 № 1365, от 31.12.2014 № 1558, от 27.07.2015 № 796,                  от 03.12.2015 № 1346, от 28.12.2015 № 1468, от 26.02.2016 № 183, от 16.03.2016         № 242, от 22.03.2016</w:t>
      </w:r>
      <w:proofErr w:type="gramEnd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270, от 11.05.2016 № 380, от 14.09.2016 № 978,                       от 28.09.2016 № 1025, от 29.12.2016 № 1423, от 31.01.2017 № 86, от 25.04.2017          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lastRenderedPageBreak/>
        <w:t>№ 380, от 08.08.2017 № 796, от 31.10.2017 № 1079, от 28.11.2017 № 1194,                от 26.12.2017 № 1317, от 30.01.2018 № 62, от 23.10.2018 № 896, от 24.10.2018       № 907, от 20.11.2018 № 1001, от 26.11.2018 № 1023, от 25.12.2018 № 1137,                   от 22.01.2019 № 24, от 24.05.2019 № 557, от 11.07.2019 № 773, от 17.12.2019</w:t>
      </w:r>
      <w:proofErr w:type="gramEnd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              №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1420, от 31.12.2019 № 1487, от 19.05.2020 № 394, от 09.12.2020 № 873,              от 16.12.2020 № 895, от 21.12.2020 № 929, от 23.12.2020 № 937, от 31.12.2020            № 988, от 17.06.2021 № 558, от 30.06.2021 № 607, от 19.11.2021 № 1013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>30.12.2021 № 1180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31.03.2022 № 194, от 16.08.2022 № 587, от 14.11.2022 № 973, от 06.12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.2022 № 1050, от 27.12.2022 № 10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73, от 28.03.2023 № 270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01.08.2023 № 729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29.12.2023 № 1297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, от 05.03.2024</w:t>
      </w:r>
      <w:proofErr w:type="gramEnd"/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="00893577">
        <w:rPr>
          <w:rFonts w:ascii="Times New Roman" w:eastAsia="Times New Roman" w:hAnsi="Times New Roman" w:cs="Times New Roman"/>
          <w:sz w:val="28"/>
          <w:szCs w:val="28"/>
        </w:rPr>
        <w:t>236, от 28.12.2024 № 1424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47F8">
        <w:rPr>
          <w:rFonts w:ascii="Times New Roman" w:eastAsia="Times New Roman" w:hAnsi="Times New Roman" w:cs="Times New Roman"/>
          <w:sz w:val="28"/>
          <w:szCs w:val="28"/>
        </w:rPr>
        <w:t xml:space="preserve">от 26.06.2025 № 658, 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>от 07.04.2025 № 372</w:t>
      </w:r>
      <w:r w:rsidR="00C338CF">
        <w:rPr>
          <w:rFonts w:ascii="Times New Roman" w:eastAsia="Times New Roman" w:hAnsi="Times New Roman" w:cs="Times New Roman"/>
          <w:sz w:val="28"/>
          <w:szCs w:val="28"/>
        </w:rPr>
        <w:t>, от 26.06.2025 № 658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1.1 Муниципальную программу «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(приложение).</w:t>
      </w:r>
    </w:p>
    <w:p w:rsidR="00F800DF" w:rsidRPr="00F800DF" w:rsidRDefault="00F800DF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2. Отделу информационных технологий и связи с о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бщественностью            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A87EB5" w:rsidRPr="00A87EB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сети «Интернет».</w:t>
      </w:r>
    </w:p>
    <w:p w:rsidR="00DA30AB" w:rsidRDefault="00F800DF" w:rsidP="00F800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Заместителю Главы муниципального образования – начальнику Управления по городскому хозяйству и промышленному комплексу Администрации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Десногорск» Смоленской области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1C772D">
        <w:rPr>
          <w:rFonts w:ascii="Times New Roman" w:eastAsia="Times New Roman" w:hAnsi="Times New Roman" w:cs="Times New Roman"/>
          <w:sz w:val="28"/>
          <w:szCs w:val="28"/>
        </w:rPr>
        <w:t>Федоренкову</w:t>
      </w:r>
      <w:proofErr w:type="spellEnd"/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800DF" w:rsidRPr="00F800DF" w:rsidRDefault="00474BB7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BB7">
        <w:rPr>
          <w:rFonts w:ascii="Times New Roman" w:eastAsia="Times New Roman" w:hAnsi="Times New Roman" w:cs="Times New Roman"/>
          <w:sz w:val="28"/>
          <w:szCs w:val="28"/>
        </w:rPr>
        <w:t>4. Контроль ис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полнения пункта 3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главного специалиста – экономиста отдела экономики и инвестиций Администрации муниципального образования «город Десногорск» Смоле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нской области 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474BB7">
        <w:rPr>
          <w:rFonts w:ascii="Times New Roman" w:eastAsia="Times New Roman" w:hAnsi="Times New Roman" w:cs="Times New Roman"/>
          <w:sz w:val="28"/>
          <w:szCs w:val="28"/>
        </w:rPr>
        <w:t>Иванушенкову</w:t>
      </w:r>
      <w:proofErr w:type="spellEnd"/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ального образования – начальника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772D">
        <w:rPr>
          <w:rFonts w:ascii="Times New Roman" w:eastAsia="Times New Roman" w:hAnsi="Times New Roman" w:cs="Times New Roman"/>
          <w:sz w:val="28"/>
          <w:szCs w:val="28"/>
        </w:rPr>
        <w:t>Федоренкова</w:t>
      </w:r>
      <w:proofErr w:type="spellEnd"/>
      <w:r w:rsidRPr="00474B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474BB7" w:rsidRPr="00F800DF" w:rsidRDefault="00474BB7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CC0F26">
        <w:rPr>
          <w:rFonts w:ascii="Times New Roman" w:eastAsia="Times New Roman" w:hAnsi="Times New Roman" w:cs="Times New Roman"/>
          <w:sz w:val="28"/>
          <w:szCs w:val="24"/>
        </w:rPr>
        <w:t xml:space="preserve">               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1C772D">
        <w:rPr>
          <w:rFonts w:ascii="Times New Roman" w:eastAsia="Times New Roman" w:hAnsi="Times New Roman" w:cs="Times New Roman"/>
          <w:b/>
          <w:sz w:val="28"/>
          <w:szCs w:val="24"/>
        </w:rPr>
        <w:t xml:space="preserve">А.А. </w:t>
      </w:r>
      <w:proofErr w:type="spellStart"/>
      <w:r w:rsidR="001C772D">
        <w:rPr>
          <w:rFonts w:ascii="Times New Roman" w:eastAsia="Times New Roman" w:hAnsi="Times New Roman" w:cs="Times New Roman"/>
          <w:b/>
          <w:sz w:val="28"/>
          <w:szCs w:val="24"/>
        </w:rPr>
        <w:t>Терлецкий</w:t>
      </w:r>
      <w:proofErr w:type="spellEnd"/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87FBF" w:rsidRPr="00987FBF" w:rsidRDefault="00987FBF" w:rsidP="00BB491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lastRenderedPageBreak/>
        <w:t>УТВЕРЖДЕНА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gramStart"/>
      <w:r w:rsidRPr="00987FBF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987FBF">
        <w:rPr>
          <w:rFonts w:ascii="Times New Roman" w:hAnsi="Times New Roman"/>
          <w:sz w:val="20"/>
          <w:szCs w:val="20"/>
        </w:rPr>
        <w:t xml:space="preserve"> 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:rsidR="00317BBD" w:rsidRDefault="001C772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1C772D">
        <w:rPr>
          <w:rFonts w:ascii="Times New Roman" w:hAnsi="Times New Roman"/>
          <w:sz w:val="20"/>
          <w:szCs w:val="20"/>
        </w:rPr>
        <w:t>от___</w:t>
      </w:r>
      <w:r w:rsidR="002E0EAB" w:rsidRPr="002E0EAB">
        <w:rPr>
          <w:rFonts w:ascii="Times New Roman" w:hAnsi="Times New Roman"/>
          <w:sz w:val="20"/>
          <w:szCs w:val="20"/>
          <w:u w:val="single"/>
        </w:rPr>
        <w:t>27.10.2025</w:t>
      </w:r>
      <w:r w:rsidRPr="001C772D">
        <w:rPr>
          <w:rFonts w:ascii="Times New Roman" w:hAnsi="Times New Roman"/>
          <w:sz w:val="20"/>
          <w:szCs w:val="20"/>
        </w:rPr>
        <w:t>_№_</w:t>
      </w:r>
      <w:r w:rsidR="002E0EAB" w:rsidRPr="002E0EAB">
        <w:rPr>
          <w:rFonts w:ascii="Times New Roman" w:hAnsi="Times New Roman"/>
          <w:sz w:val="20"/>
          <w:szCs w:val="20"/>
          <w:u w:val="single"/>
        </w:rPr>
        <w:t>1163</w:t>
      </w:r>
      <w:r w:rsidRPr="001C772D">
        <w:rPr>
          <w:rFonts w:ascii="Times New Roman" w:hAnsi="Times New Roman"/>
          <w:sz w:val="20"/>
          <w:szCs w:val="20"/>
        </w:rPr>
        <w:t>_</w:t>
      </w:r>
    </w:p>
    <w:p w:rsidR="001C772D" w:rsidRDefault="001C772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:rsidR="001A68B7" w:rsidRPr="00EA2B84" w:rsidRDefault="001A68B7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:rsidR="00F800DF" w:rsidRPr="009F4552" w:rsidRDefault="00F800DF" w:rsidP="00F8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F800DF" w:rsidRPr="00F800DF" w:rsidRDefault="00F800DF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F800DF" w:rsidRDefault="00F800D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8B7" w:rsidRDefault="001A68B7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2A6B5A" w:rsidRPr="00F800DF" w:rsidRDefault="002A6B5A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987FBF" w:rsidRPr="00F800DF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A9095F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CA7710" w:rsidRDefault="00CA7710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:rsidTr="00EF2723">
        <w:tc>
          <w:tcPr>
            <w:tcW w:w="2835" w:type="dxa"/>
            <w:shd w:val="clear" w:color="auto" w:fill="auto"/>
            <w:vAlign w:val="center"/>
          </w:tcPr>
          <w:p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800DF" w:rsidRDefault="001C772D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енской области (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далее - Управление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ГХ и ПК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A75E3" w:rsidRPr="00AA75E3" w:rsidRDefault="00987FBF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166283" w:rsidRPr="009F4552" w:rsidTr="00166283">
        <w:tc>
          <w:tcPr>
            <w:tcW w:w="2835" w:type="dxa"/>
            <w:shd w:val="clear" w:color="auto" w:fill="auto"/>
          </w:tcPr>
          <w:p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C54CDE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53F9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175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5AC4" w:rsidRPr="00AA75E3" w:rsidRDefault="00175AC4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«Комбин</w:t>
            </w:r>
            <w:r w:rsidR="001C772D">
              <w:rPr>
                <w:rFonts w:ascii="Times New Roman" w:hAnsi="Times New Roman" w:cs="Times New Roman"/>
                <w:sz w:val="24"/>
                <w:szCs w:val="24"/>
              </w:rPr>
              <w:t>ат коммунальных предприятий» (да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– ООО «ККП»)</w:t>
            </w:r>
          </w:p>
        </w:tc>
      </w:tr>
      <w:tr w:rsidR="006B4271" w:rsidRPr="009F4552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6B4271" w:rsidRPr="00AA75E3" w:rsidRDefault="006B4271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B4271" w:rsidRPr="00AA75E3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:rsidR="00E26387" w:rsidRPr="006E55FE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50218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66283" w:rsidRPr="009F4552" w:rsidTr="00EF2723">
        <w:tc>
          <w:tcPr>
            <w:tcW w:w="2835" w:type="dxa"/>
            <w:shd w:val="clear" w:color="auto" w:fill="auto"/>
            <w:vAlign w:val="center"/>
          </w:tcPr>
          <w:p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66283" w:rsidRPr="00AA75E3" w:rsidRDefault="007453F9" w:rsidP="0098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53F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населению г. Десногорск качественных услуг в сфере жилищно-коммунального и лесного хозяйства.</w:t>
            </w:r>
          </w:p>
        </w:tc>
      </w:tr>
      <w:tr w:rsidR="00317BBD" w:rsidRPr="009F4552" w:rsidTr="00EF2723">
        <w:tc>
          <w:tcPr>
            <w:tcW w:w="2835" w:type="dxa"/>
            <w:shd w:val="clear" w:color="auto" w:fill="auto"/>
            <w:vAlign w:val="center"/>
          </w:tcPr>
          <w:p w:rsidR="00317BBD" w:rsidRPr="00AA75E3" w:rsidRDefault="00317BBD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55145" w:rsidRPr="00DF3DE8" w:rsidRDefault="00455145" w:rsidP="0045514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3F5209">
              <w:rPr>
                <w:rFonts w:ascii="Times New Roman" w:eastAsia="Arial Unicode MS" w:hAnsi="Times New Roman" w:cs="Times New Roman"/>
                <w:sz w:val="24"/>
                <w:szCs w:val="24"/>
              </w:rPr>
              <w:t>1 030</w:t>
            </w:r>
            <w:r w:rsidR="00C338CF" w:rsidRPr="00C338CF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3F5209">
              <w:rPr>
                <w:rFonts w:ascii="Times New Roman" w:eastAsia="Arial Unicode MS" w:hAnsi="Times New Roman" w:cs="Times New Roman"/>
                <w:sz w:val="24"/>
                <w:szCs w:val="24"/>
              </w:rPr>
              <w:t>530,4</w:t>
            </w:r>
            <w:r w:rsidR="00C338C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31 369,3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F520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  <w:r w:rsidR="00C338CF" w:rsidRP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F5209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  <w:r w:rsid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2014-2021 – 478 357,3 тыс. рублей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29 695,7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448 661,6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2022-202</w:t>
            </w:r>
            <w:r w:rsidR="00E57D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9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  <w:r w:rsidR="003F5209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  <w:r w:rsidR="00C338CF" w:rsidRP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F5209">
              <w:rPr>
                <w:rFonts w:ascii="Times New Roman" w:eastAsia="Times New Roman" w:hAnsi="Times New Roman" w:cs="Times New Roman"/>
                <w:sz w:val="24"/>
                <w:szCs w:val="24"/>
              </w:rPr>
              <w:t>173,1</w:t>
            </w:r>
            <w:r w:rsid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–  </w:t>
            </w:r>
            <w:r w:rsidR="0060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F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областного бюджета –</w:t>
            </w:r>
            <w:r w:rsidR="004D24B3">
              <w:rPr>
                <w:rFonts w:ascii="Times New Roman" w:eastAsia="Times New Roman" w:hAnsi="Times New Roman" w:cs="Times New Roman"/>
                <w:sz w:val="24"/>
                <w:szCs w:val="24"/>
              </w:rPr>
              <w:t>1 673,6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C338CF" w:rsidRP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F5209">
              <w:rPr>
                <w:rFonts w:ascii="Times New Roman" w:eastAsia="Times New Roman" w:hAnsi="Times New Roman" w:cs="Times New Roman"/>
                <w:sz w:val="24"/>
                <w:szCs w:val="24"/>
              </w:rPr>
              <w:t>50 499,5</w:t>
            </w:r>
            <w:r w:rsid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317BBD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</w:t>
            </w:r>
          </w:p>
        </w:tc>
      </w:tr>
      <w:tr w:rsidR="00317BBD" w:rsidRPr="00CB5298" w:rsidTr="00EF2723">
        <w:tc>
          <w:tcPr>
            <w:tcW w:w="2835" w:type="dxa"/>
            <w:shd w:val="clear" w:color="auto" w:fill="auto"/>
          </w:tcPr>
          <w:p w:rsidR="00317BBD" w:rsidRPr="00AA75E3" w:rsidRDefault="00317BBD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муниципальных услуг  по содержанию объектов благоустройства г. Десногорск в соответствии с муниципальным заданием Службы благоустройства;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муниципальных услуг  по содержанию  лесного хозяйства г. Десногорск в соответствии с муниципальным заданием  </w:t>
            </w:r>
            <w:r w:rsidRPr="00613413">
              <w:rPr>
                <w:rFonts w:ascii="Times New Roman" w:eastAsia="Arial Unicode MS" w:hAnsi="Times New Roman" w:cs="Times New Roman"/>
                <w:sz w:val="24"/>
                <w:szCs w:val="24"/>
              </w:rPr>
              <w:t>Службы благоустройства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населению г. Десногорск услуг бан</w:t>
            </w:r>
            <w:proofErr w:type="gram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 </w:t>
            </w:r>
            <w:r w:rsidR="00181E08">
              <w:rPr>
                <w:rFonts w:ascii="Times New Roman" w:eastAsia="Arial Unicode MS" w:hAnsi="Times New Roman" w:cs="Times New Roman"/>
                <w:sz w:val="24"/>
                <w:szCs w:val="24"/>
              </w:rPr>
              <w:t>ООО</w:t>
            </w:r>
            <w:proofErr w:type="gramEnd"/>
            <w:r w:rsidR="00181E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proofErr w:type="spell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Латона</w:t>
            </w:r>
            <w:proofErr w:type="spellEnd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»;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надежности и эффективности работы объектов коммунальной инфраструктуры в сфере жилищно-коммун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ального хозяйства г. Десногорск;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среды, комфортной для проживания граждан, совершенствование эстетического состояния городских территорий;</w:t>
            </w:r>
          </w:p>
          <w:p w:rsidR="00317BBD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комфортных условий для отдыха жителей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г. Десногорск;</w:t>
            </w:r>
          </w:p>
          <w:p w:rsidR="00175AC4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коммунальных услуг</w:t>
            </w:r>
            <w:r w:rsidR="001C772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МКД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75AC4" w:rsidRPr="00AA75E3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540"/>
        <w:gridCol w:w="1292"/>
        <w:gridCol w:w="2052"/>
        <w:gridCol w:w="1493"/>
        <w:gridCol w:w="1271"/>
        <w:gridCol w:w="1271"/>
      </w:tblGrid>
      <w:tr w:rsidR="00AA75E3" w:rsidRPr="00580B96" w:rsidTr="00317BBD">
        <w:trPr>
          <w:tblHeader/>
          <w:jc w:val="center"/>
        </w:trPr>
        <w:tc>
          <w:tcPr>
            <w:tcW w:w="1182" w:type="pct"/>
            <w:vMerge w:val="restart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2" w:type="pct"/>
            <w:vMerge w:val="restart"/>
          </w:tcPr>
          <w:p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1B7F00" w:rsidRDefault="00AA75E3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E2638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595A" w:rsidRPr="00E26387" w:rsidRDefault="005D6606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121" w:type="pct"/>
            <w:gridSpan w:val="3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:rsidTr="00317BBD">
        <w:trPr>
          <w:trHeight w:val="448"/>
          <w:tblHeader/>
          <w:jc w:val="center"/>
        </w:trPr>
        <w:tc>
          <w:tcPr>
            <w:tcW w:w="1182" w:type="pct"/>
            <w:vMerge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2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F800DF" w:rsidRPr="00E26387" w:rsidRDefault="00E26387" w:rsidP="001B7F0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670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93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AA75E3" w:rsidRPr="00580B96" w:rsidTr="008A66A5">
        <w:trPr>
          <w:trHeight w:val="479"/>
          <w:tblHeader/>
          <w:jc w:val="center"/>
        </w:trPr>
        <w:tc>
          <w:tcPr>
            <w:tcW w:w="1182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93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cs="Times New Roman"/>
                <w:sz w:val="24"/>
                <w:szCs w:val="24"/>
              </w:rPr>
              <w:t xml:space="preserve"> баню</w:t>
            </w:r>
          </w:p>
          <w:p w:rsidR="005E1E83" w:rsidRPr="00580B96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:rsidR="005E1E83" w:rsidRDefault="005E1E83" w:rsidP="001639A8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42" w:type="pct"/>
          </w:tcPr>
          <w:p w:rsidR="005E1E83" w:rsidRDefault="005E1E83" w:rsidP="0049194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5D660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E211D4" w:rsidP="005E1E83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80B96" w:rsidRDefault="005E1E83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656" w:type="pct"/>
          </w:tcPr>
          <w:p w:rsidR="005E1E83" w:rsidRPr="001E6065" w:rsidRDefault="005E1E83" w:rsidP="004836AD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</w:tcPr>
          <w:p w:rsidR="005E1E83" w:rsidRPr="00580B96" w:rsidRDefault="005E1E83" w:rsidP="005E1E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</w:tr>
      <w:tr w:rsidR="0068146F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68146F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656" w:type="pct"/>
          </w:tcPr>
          <w:p w:rsidR="0068146F" w:rsidRPr="001E6065" w:rsidRDefault="001639A8" w:rsidP="0061341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</w:tcPr>
          <w:p w:rsidR="0068146F" w:rsidRDefault="005D6606" w:rsidP="0068146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8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70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93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5E1E83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муниципального образования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ED2DAE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="00ED2DAE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BBD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317BBD" w:rsidRPr="000A5AAB" w:rsidRDefault="00317BBD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317BBD">
              <w:rPr>
                <w:rFonts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656" w:type="pct"/>
            <w:vAlign w:val="center"/>
          </w:tcPr>
          <w:p w:rsidR="00317BBD" w:rsidRDefault="00317BBD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17BBD"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AC4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175AC4" w:rsidRPr="00317BBD" w:rsidRDefault="00175AC4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175AC4">
              <w:rPr>
                <w:rFonts w:cs="Times New Roman"/>
                <w:sz w:val="24"/>
                <w:szCs w:val="24"/>
              </w:rPr>
              <w:t xml:space="preserve">Количество МКД </w:t>
            </w:r>
            <w:proofErr w:type="gramStart"/>
            <w:r w:rsidRPr="00175AC4">
              <w:rPr>
                <w:rFonts w:cs="Times New Roman"/>
                <w:sz w:val="24"/>
                <w:szCs w:val="24"/>
              </w:rPr>
              <w:t>обеспеченных</w:t>
            </w:r>
            <w:proofErr w:type="gramEnd"/>
            <w:r w:rsidRPr="00175AC4">
              <w:rPr>
                <w:rFonts w:cs="Times New Roman"/>
                <w:sz w:val="24"/>
                <w:szCs w:val="24"/>
              </w:rPr>
              <w:t xml:space="preserve"> качественными коммунальными услугами</w:t>
            </w:r>
          </w:p>
        </w:tc>
        <w:tc>
          <w:tcPr>
            <w:tcW w:w="656" w:type="pct"/>
            <w:vAlign w:val="center"/>
          </w:tcPr>
          <w:p w:rsidR="00175AC4" w:rsidRPr="00317BBD" w:rsidRDefault="00175AC4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CA7710" w:rsidRDefault="00CA7710" w:rsidP="00AA75E3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970" w:type="pct"/>
        <w:tblInd w:w="-179" w:type="dxa"/>
        <w:tblLook w:val="04A0" w:firstRow="1" w:lastRow="0" w:firstColumn="1" w:lastColumn="0" w:noHBand="0" w:noVBand="1"/>
      </w:tblPr>
      <w:tblGrid>
        <w:gridCol w:w="174"/>
        <w:gridCol w:w="671"/>
        <w:gridCol w:w="197"/>
        <w:gridCol w:w="12"/>
        <w:gridCol w:w="2769"/>
        <w:gridCol w:w="629"/>
        <w:gridCol w:w="28"/>
        <w:gridCol w:w="1054"/>
        <w:gridCol w:w="1691"/>
        <w:gridCol w:w="425"/>
        <w:gridCol w:w="85"/>
        <w:gridCol w:w="77"/>
        <w:gridCol w:w="2144"/>
        <w:gridCol w:w="119"/>
      </w:tblGrid>
      <w:tr w:rsidR="00CA7710" w:rsidRPr="00D63D40" w:rsidTr="00914F46">
        <w:trPr>
          <w:gridBefore w:val="1"/>
          <w:wBefore w:w="87" w:type="pct"/>
          <w:trHeight w:val="562"/>
        </w:trPr>
        <w:tc>
          <w:tcPr>
            <w:tcW w:w="431" w:type="pct"/>
            <w:gridSpan w:val="2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2" w:type="pct"/>
            <w:gridSpan w:val="3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0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:rsidTr="00914F46">
        <w:trPr>
          <w:gridBefore w:val="1"/>
          <w:wBefore w:w="87" w:type="pct"/>
          <w:trHeight w:val="170"/>
        </w:trPr>
        <w:tc>
          <w:tcPr>
            <w:tcW w:w="431" w:type="pct"/>
            <w:gridSpan w:val="2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00" w:type="pct"/>
            <w:gridSpan w:val="3"/>
          </w:tcPr>
          <w:p w:rsidR="0072346F" w:rsidRPr="00CA771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9A29DB" w:rsidRDefault="00A43524" w:rsidP="009A29DB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A43524" w:rsidRPr="009A29DB" w:rsidRDefault="009A29DB" w:rsidP="009A29DB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качественного обслуживания населения услугами бани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A43524" w:rsidRDefault="00A43524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65D6" w:rsidRPr="00D63D40" w:rsidRDefault="0072346F" w:rsidP="001C7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лексей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-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92" w:type="pct"/>
            <w:gridSpan w:val="3"/>
          </w:tcPr>
          <w:p w:rsidR="00A43524" w:rsidRPr="00A43524" w:rsidRDefault="0072346F" w:rsidP="005E1E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Задача 1. </w:t>
            </w:r>
            <w:r w:rsidR="005E1E83">
              <w:rPr>
                <w:sz w:val="24"/>
                <w:szCs w:val="24"/>
              </w:rPr>
              <w:t>О</w:t>
            </w:r>
            <w:r w:rsidR="005E1E83" w:rsidRPr="000139B0">
              <w:rPr>
                <w:sz w:val="24"/>
                <w:szCs w:val="24"/>
              </w:rPr>
              <w:t>беспечение предоставления населению г. Десногорск качественных услуг</w:t>
            </w:r>
            <w:r w:rsidR="005E1E83">
              <w:rPr>
                <w:sz w:val="24"/>
                <w:szCs w:val="24"/>
              </w:rPr>
              <w:t xml:space="preserve"> бани</w:t>
            </w:r>
          </w:p>
        </w:tc>
        <w:tc>
          <w:tcPr>
            <w:tcW w:w="1629" w:type="pct"/>
            <w:gridSpan w:val="5"/>
          </w:tcPr>
          <w:p w:rsidR="00A43524" w:rsidRPr="00D63D40" w:rsidRDefault="005E1E83" w:rsidP="002A53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Возмещение части затрат </w:t>
            </w:r>
            <w:r w:rsidRPr="005E1E83">
              <w:rPr>
                <w:rFonts w:cs="Times New Roman"/>
                <w:sz w:val="24"/>
                <w:szCs w:val="24"/>
              </w:rPr>
              <w:t>в связи с оказанием услуг населению, не компенсированных доходами от оказания данных услуг в связи с регулированием тарифов на услуги населению</w:t>
            </w:r>
          </w:p>
        </w:tc>
        <w:tc>
          <w:tcPr>
            <w:tcW w:w="1160" w:type="pct"/>
            <w:gridSpan w:val="3"/>
          </w:tcPr>
          <w:p w:rsidR="005E1E83" w:rsidRPr="005E1E83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eastAsia="Times New Roman"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eastAsia="Times New Roman" w:cs="Times New Roman"/>
                <w:sz w:val="24"/>
                <w:szCs w:val="24"/>
              </w:rPr>
              <w:t xml:space="preserve"> баню</w:t>
            </w:r>
          </w:p>
          <w:p w:rsidR="00A43524" w:rsidRPr="00D63D40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eastAsia="Times New Roman"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D358A3" w:rsidRDefault="00D358A3" w:rsidP="00D358A3">
            <w:pPr>
              <w:pStyle w:val="af2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D358A3" w:rsidRPr="009A29DB" w:rsidRDefault="00D358A3" w:rsidP="00D358A3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благоустройству территорий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92" w:type="pct"/>
            <w:gridSpan w:val="3"/>
          </w:tcPr>
          <w:p w:rsidR="00D358A3" w:rsidRPr="00A43524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содержания, ремонта и сохранности объектов благоустройства, сети уличного освещения, мест захоронения</w:t>
            </w:r>
          </w:p>
        </w:tc>
        <w:tc>
          <w:tcPr>
            <w:tcW w:w="1587" w:type="pct"/>
            <w:gridSpan w:val="4"/>
          </w:tcPr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и поддержание в работоспособном состоянии объектов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благоустройства, сет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уличного освещения, мест захоронения</w:t>
            </w:r>
          </w:p>
        </w:tc>
        <w:tc>
          <w:tcPr>
            <w:tcW w:w="1202" w:type="pct"/>
            <w:gridSpan w:val="4"/>
          </w:tcPr>
          <w:p w:rsidR="00D358A3" w:rsidRPr="0068146F" w:rsidRDefault="00D358A3" w:rsidP="00D358A3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>оронения города Десногорска, с</w:t>
            </w:r>
            <w:r w:rsidRPr="005E1E83">
              <w:rPr>
                <w:rFonts w:cs="Times New Roman"/>
                <w:sz w:val="24"/>
                <w:szCs w:val="24"/>
              </w:rPr>
              <w:t>одержание сети уличного освещения г. Десногорск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29DB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9A29DB" w:rsidRPr="00C12F54" w:rsidRDefault="00C12F54" w:rsidP="00C12F54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A29DB" w:rsidRPr="00C12F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9A29DB" w:rsidRPr="009A29DB" w:rsidRDefault="00D358A3" w:rsidP="009A29DB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9A2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содержанию лесного хозяйства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9DB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9DB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68146F" w:rsidRPr="00A43524" w:rsidRDefault="0072346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E7FDF"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содержания и сохранности </w:t>
            </w:r>
            <w:r w:rsidR="00EE7FDF"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629" w:type="pct"/>
            <w:gridSpan w:val="5"/>
          </w:tcPr>
          <w:p w:rsidR="0068146F" w:rsidRPr="00D63D40" w:rsidRDefault="00EE7FD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160" w:type="pct"/>
            <w:gridSpan w:val="3"/>
          </w:tcPr>
          <w:p w:rsidR="00D90C65" w:rsidRPr="00D90C65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358A3">
              <w:rPr>
                <w:rFonts w:cs="Times New Roman"/>
                <w:sz w:val="24"/>
                <w:szCs w:val="24"/>
              </w:rPr>
              <w:t>Т</w:t>
            </w:r>
            <w:r w:rsidR="00D90C65" w:rsidRPr="005E1E83">
              <w:rPr>
                <w:rFonts w:cs="Times New Roman"/>
                <w:sz w:val="24"/>
                <w:szCs w:val="24"/>
              </w:rPr>
              <w:t>ерритория п</w:t>
            </w:r>
            <w:r w:rsidR="00D90C65">
              <w:rPr>
                <w:rFonts w:cs="Times New Roman"/>
                <w:sz w:val="24"/>
                <w:szCs w:val="24"/>
              </w:rPr>
              <w:t>о содержанию лесного хозяйства; д</w:t>
            </w:r>
            <w:r w:rsidR="00D90C65" w:rsidRPr="00D90C65">
              <w:rPr>
                <w:rFonts w:cs="Times New Roman"/>
                <w:sz w:val="24"/>
                <w:szCs w:val="24"/>
              </w:rPr>
              <w:t>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  <w:r w:rsidR="00D90C65"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площади лесов, охваченной санитарно-оздоровительными мероприятиями</w:t>
            </w:r>
            <w:r>
              <w:rPr>
                <w:rFonts w:cs="Times New Roman"/>
                <w:sz w:val="24"/>
                <w:szCs w:val="24"/>
              </w:rPr>
              <w:t>; у</w:t>
            </w:r>
            <w:r w:rsidRPr="00D90C65">
              <w:rPr>
                <w:rFonts w:cs="Times New Roman"/>
                <w:sz w:val="24"/>
                <w:szCs w:val="24"/>
              </w:rPr>
              <w:t>ровень лесистости территории муниципального образования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90C65">
              <w:rPr>
                <w:rFonts w:cs="Times New Roman"/>
                <w:sz w:val="24"/>
                <w:szCs w:val="24"/>
              </w:rPr>
              <w:t>лощадь тушения лесных пожаров в городских лесах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68146F" w:rsidRPr="0068146F" w:rsidRDefault="00D90C65" w:rsidP="00ED2DAE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</w:t>
            </w:r>
            <w:r w:rsidRPr="00D90C65">
              <w:rPr>
                <w:rFonts w:cs="Times New Roman"/>
                <w:sz w:val="24"/>
                <w:szCs w:val="24"/>
              </w:rPr>
              <w:t xml:space="preserve">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</w:t>
            </w:r>
            <w:r w:rsidRPr="00D90C65">
              <w:rPr>
                <w:rFonts w:cs="Times New Roman"/>
                <w:sz w:val="24"/>
                <w:szCs w:val="24"/>
              </w:rPr>
              <w:lastRenderedPageBreak/>
              <w:t>законодательства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ротяженность обновления противопожарных минерализованных полос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благоустроенных зон отдыха граждан,</w:t>
            </w:r>
            <w:r w:rsidR="00B8595A">
              <w:rPr>
                <w:rFonts w:cs="Times New Roman"/>
                <w:sz w:val="24"/>
                <w:szCs w:val="24"/>
              </w:rPr>
              <w:t xml:space="preserve"> пр</w:t>
            </w:r>
            <w:r w:rsidR="00ED2DAE" w:rsidRPr="00ED2DAE">
              <w:rPr>
                <w:rFonts w:cs="Times New Roman"/>
                <w:sz w:val="24"/>
                <w:szCs w:val="24"/>
              </w:rPr>
              <w:t>е</w:t>
            </w:r>
            <w:r w:rsidRPr="00D90C65">
              <w:rPr>
                <w:rFonts w:cs="Times New Roman"/>
                <w:sz w:val="24"/>
                <w:szCs w:val="24"/>
              </w:rPr>
              <w:t>бывающих в лесах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проведенных лекций, бесед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публикаций  и выступлений в средствах массовой информации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установленных стендов и других знаков и указателей, содержащих информацию о мерах пожарной безопасности в лесах</w:t>
            </w:r>
            <w:r>
              <w:rPr>
                <w:rFonts w:cs="Times New Roman"/>
                <w:sz w:val="24"/>
                <w:szCs w:val="24"/>
              </w:rPr>
              <w:t>;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</w:t>
            </w:r>
            <w:r w:rsidRPr="00D90C65">
              <w:rPr>
                <w:rFonts w:cs="Times New Roman"/>
                <w:sz w:val="24"/>
                <w:szCs w:val="24"/>
              </w:rPr>
              <w:t>аспространение листовок</w:t>
            </w:r>
            <w:r>
              <w:rPr>
                <w:rFonts w:cs="Times New Roman"/>
                <w:sz w:val="24"/>
                <w:szCs w:val="24"/>
              </w:rPr>
              <w:t>; э</w:t>
            </w:r>
            <w:r w:rsidRPr="00D90C65">
              <w:rPr>
                <w:rFonts w:cs="Times New Roman"/>
                <w:sz w:val="24"/>
                <w:szCs w:val="24"/>
              </w:rPr>
              <w:t>ксплуатация лесных дорог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рофессиональное обучение, проведение учебно-тренировочных занятий и сборов</w:t>
            </w:r>
            <w:r>
              <w:rPr>
                <w:rFonts w:cs="Times New Roman"/>
                <w:sz w:val="24"/>
                <w:szCs w:val="24"/>
              </w:rPr>
              <w:t>; в</w:t>
            </w:r>
            <w:r w:rsidRPr="00D90C65">
              <w:rPr>
                <w:rFonts w:cs="Times New Roman"/>
                <w:sz w:val="24"/>
                <w:szCs w:val="24"/>
              </w:rPr>
              <w:t>ыборочная санитарная рубка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4F0686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gridSpan w:val="3"/>
          </w:tcPr>
          <w:p w:rsidR="00D358A3" w:rsidRDefault="00D358A3" w:rsidP="002A53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5"/>
          </w:tcPr>
          <w:p w:rsidR="00D358A3" w:rsidRDefault="00D358A3" w:rsidP="00EE7FD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D358A3" w:rsidRPr="005E1E83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68146F" w:rsidRDefault="000565D6" w:rsidP="000565D6">
            <w:pPr>
              <w:pStyle w:val="af2"/>
              <w:widowControl w:val="0"/>
              <w:tabs>
                <w:tab w:val="left" w:pos="1656"/>
                <w:tab w:val="left" w:pos="250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8146F"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68146F" w:rsidRPr="009A29DB" w:rsidRDefault="00550B0F" w:rsidP="000565D6">
            <w:pPr>
              <w:widowControl w:val="0"/>
              <w:tabs>
                <w:tab w:val="left" w:pos="522"/>
                <w:tab w:val="left" w:pos="664"/>
                <w:tab w:val="left" w:pos="805"/>
                <w:tab w:val="left" w:pos="947"/>
                <w:tab w:val="left" w:pos="1656"/>
                <w:tab w:val="left" w:pos="25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8146F"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46F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0686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4F0686" w:rsidRDefault="004F0686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4F0686" w:rsidRPr="00A43524" w:rsidRDefault="0072346F" w:rsidP="00EE7F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1. </w:t>
            </w:r>
          </w:p>
        </w:tc>
        <w:tc>
          <w:tcPr>
            <w:tcW w:w="1629" w:type="pct"/>
            <w:gridSpan w:val="5"/>
          </w:tcPr>
          <w:p w:rsidR="004F0686" w:rsidRPr="00D63D40" w:rsidRDefault="004F0686" w:rsidP="004F068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4F0686" w:rsidRPr="00580B96" w:rsidRDefault="004F0686" w:rsidP="004F068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72346F" w:rsidRPr="00D63D40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0" w:type="pct"/>
            <w:gridSpan w:val="3"/>
          </w:tcPr>
          <w:p w:rsidR="0072346F" w:rsidRPr="00477116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3. Комплекс процессных мероприятий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5. «Другие вопросы в области окружающей среды»</w:t>
            </w: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F3DE8">
              <w:rPr>
                <w:rFonts w:cs="Times New Roman"/>
                <w:sz w:val="24"/>
                <w:szCs w:val="24"/>
              </w:rPr>
              <w:t>Ответственный</w:t>
            </w:r>
            <w:proofErr w:type="gramEnd"/>
            <w:r w:rsidRPr="00DF3DE8">
              <w:rPr>
                <w:rFonts w:cs="Times New Roman"/>
                <w:sz w:val="24"/>
                <w:szCs w:val="24"/>
              </w:rPr>
              <w:t xml:space="preserve"> за выполнение комплекса процессных мероприятий 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       ГХ и ПК г. Десногорска</w:t>
            </w:r>
            <w:r w:rsidRPr="00DF3DE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1220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 w:rsidRPr="00DF3DE8">
              <w:rPr>
                <w:sz w:val="24"/>
                <w:szCs w:val="24"/>
              </w:rPr>
              <w:t>5.1.</w:t>
            </w:r>
          </w:p>
        </w:tc>
        <w:tc>
          <w:tcPr>
            <w:tcW w:w="1478" w:type="pct"/>
            <w:gridSpan w:val="3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Ликвидация мест несанкционированного размещения отходов</w:t>
            </w:r>
          </w:p>
        </w:tc>
        <w:tc>
          <w:tcPr>
            <w:tcW w:w="1688" w:type="pct"/>
            <w:gridSpan w:val="4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1354" w:type="pct"/>
            <w:gridSpan w:val="4"/>
          </w:tcPr>
          <w:p w:rsidR="00312207" w:rsidRDefault="00312207" w:rsidP="00312207">
            <w:pPr>
              <w:ind w:right="41"/>
              <w:jc w:val="both"/>
              <w:rPr>
                <w:rFonts w:cs="Times New Roman"/>
                <w:sz w:val="24"/>
                <w:szCs w:val="24"/>
              </w:rPr>
            </w:pPr>
            <w:r w:rsidRPr="00DF3DE8">
              <w:rPr>
                <w:color w:val="000000" w:themeColor="text1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захоронения города Десногорска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3. Комплекс процессных мероприятий</w:t>
            </w:r>
          </w:p>
          <w:p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r w:rsidRPr="00914F46">
              <w:rPr>
                <w:color w:val="000000" w:themeColor="text1"/>
                <w:sz w:val="24"/>
                <w:szCs w:val="24"/>
              </w:rPr>
              <w:t>«Повышение качественности и надежности предоставления коммунальных услуг населению»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14F46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14F46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  <w:p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1C772D" w:rsidRPr="001C772D">
              <w:rPr>
                <w:color w:val="000000" w:themeColor="text1"/>
                <w:sz w:val="24"/>
                <w:szCs w:val="24"/>
              </w:rPr>
              <w:t>Федоренков</w:t>
            </w:r>
            <w:proofErr w:type="spellEnd"/>
            <w:r w:rsidR="001C772D" w:rsidRPr="001C772D">
              <w:rPr>
                <w:color w:val="000000" w:themeColor="text1"/>
                <w:sz w:val="24"/>
                <w:szCs w:val="24"/>
              </w:rPr>
              <w:t xml:space="preserve"> Алексей Витальевич, заместитель Главы - начальник Управления        ГХ и ПК г. Десногорска</w:t>
            </w:r>
            <w:r w:rsidRPr="00914F4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478" w:type="pct"/>
            <w:gridSpan w:val="3"/>
          </w:tcPr>
          <w:p w:rsidR="00914F46" w:rsidRPr="00DF3DE8" w:rsidRDefault="00914F46" w:rsidP="00914F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14F46">
              <w:rPr>
                <w:rFonts w:eastAsia="Times New Roman" w:cs="Times New Roman"/>
                <w:sz w:val="24"/>
                <w:szCs w:val="24"/>
              </w:rPr>
              <w:t>Задача 1.</w:t>
            </w:r>
            <w:r w:rsidRPr="00914F46">
              <w:rPr>
                <w:rFonts w:asciiTheme="minorHAnsi" w:eastAsiaTheme="minorEastAsia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914F46">
              <w:rPr>
                <w:rFonts w:eastAsia="Times New Roman" w:cs="Times New Roman"/>
                <w:sz w:val="24"/>
                <w:szCs w:val="24"/>
              </w:rPr>
              <w:t>Обеспечение устойчивого функционирования объектов жилищно-коммунального хозяйства</w:t>
            </w:r>
          </w:p>
        </w:tc>
        <w:tc>
          <w:tcPr>
            <w:tcW w:w="1688" w:type="pct"/>
            <w:gridSpan w:val="4"/>
          </w:tcPr>
          <w:p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МКД</w:t>
            </w:r>
            <w:r w:rsidR="001855B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55B2">
              <w:rPr>
                <w:rFonts w:eastAsia="Times New Roman" w:cs="Times New Roman"/>
                <w:sz w:val="24"/>
                <w:szCs w:val="24"/>
              </w:rPr>
              <w:t>обеспеченных</w:t>
            </w:r>
            <w:proofErr w:type="gramEnd"/>
            <w:r w:rsidR="001855B2">
              <w:rPr>
                <w:rFonts w:eastAsia="Times New Roman" w:cs="Times New Roman"/>
                <w:sz w:val="24"/>
                <w:szCs w:val="24"/>
              </w:rPr>
              <w:t xml:space="preserve"> качественными коммунальными услугами </w:t>
            </w:r>
          </w:p>
        </w:tc>
        <w:tc>
          <w:tcPr>
            <w:tcW w:w="1354" w:type="pct"/>
            <w:gridSpan w:val="4"/>
          </w:tcPr>
          <w:p w:rsidR="00914F46" w:rsidRPr="00DF3DE8" w:rsidRDefault="00914F46" w:rsidP="00914F46">
            <w:pPr>
              <w:ind w:right="41"/>
              <w:jc w:val="both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Уровень выполнения услуг и работ по содержанию объектов</w:t>
            </w:r>
            <w:r>
              <w:rPr>
                <w:color w:val="000000" w:themeColor="text1"/>
                <w:sz w:val="24"/>
                <w:szCs w:val="24"/>
              </w:rPr>
              <w:t xml:space="preserve"> жилого фонда</w:t>
            </w:r>
          </w:p>
        </w:tc>
      </w:tr>
    </w:tbl>
    <w:p w:rsidR="00312207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 xml:space="preserve">* - Указывается наименование показателя муниципальной программы, на достижение которого </w:t>
      </w:r>
    </w:p>
    <w:p w:rsidR="00CA7710" w:rsidRPr="00477116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направлена задача.</w:t>
      </w:r>
    </w:p>
    <w:p w:rsidR="00CA7710" w:rsidRPr="00477116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1701"/>
        <w:gridCol w:w="1987"/>
        <w:gridCol w:w="1551"/>
        <w:gridCol w:w="1247"/>
      </w:tblGrid>
      <w:tr w:rsidR="00CA7710" w:rsidRPr="00477116" w:rsidTr="00BF1323">
        <w:trPr>
          <w:tblHeader/>
          <w:jc w:val="center"/>
        </w:trPr>
        <w:tc>
          <w:tcPr>
            <w:tcW w:w="1801" w:type="pct"/>
            <w:vMerge w:val="restar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9" w:type="pct"/>
            <w:vMerge w:val="restart"/>
          </w:tcPr>
          <w:p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360" w:type="pct"/>
            <w:gridSpan w:val="3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F1323" w:rsidRPr="00477116" w:rsidTr="00312207">
        <w:trPr>
          <w:trHeight w:val="448"/>
          <w:tblHeader/>
          <w:jc w:val="center"/>
        </w:trPr>
        <w:tc>
          <w:tcPr>
            <w:tcW w:w="1801" w:type="pct"/>
            <w:vMerge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0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76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1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BF1323" w:rsidRPr="00477116" w:rsidTr="00312207">
        <w:trPr>
          <w:trHeight w:val="282"/>
          <w:tblHeader/>
          <w:jc w:val="center"/>
        </w:trPr>
        <w:tc>
          <w:tcPr>
            <w:tcW w:w="1801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</w:tcPr>
          <w:p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80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C5801" w:rsidRPr="00477116" w:rsidTr="00312207">
        <w:trPr>
          <w:trHeight w:val="433"/>
          <w:jc w:val="center"/>
        </w:trPr>
        <w:tc>
          <w:tcPr>
            <w:tcW w:w="1801" w:type="pct"/>
            <w:vAlign w:val="center"/>
          </w:tcPr>
          <w:p w:rsidR="008C5801" w:rsidRPr="00477116" w:rsidRDefault="008C5801" w:rsidP="008C5801">
            <w:pPr>
              <w:spacing w:line="230" w:lineRule="auto"/>
              <w:ind w:firstLine="4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46F">
              <w:rPr>
                <w:rFonts w:cs="Times New Roman"/>
                <w:sz w:val="24"/>
                <w:szCs w:val="24"/>
              </w:rPr>
              <w:t>«Развитие дорожно-транспортного комплекса муниципального образования 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39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3F5209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309</w:t>
            </w:r>
            <w:r w:rsidR="000C1283" w:rsidRPr="000C128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741,0</w:t>
            </w:r>
          </w:p>
        </w:tc>
        <w:tc>
          <w:tcPr>
            <w:tcW w:w="980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122 651,5</w:t>
            </w:r>
          </w:p>
        </w:tc>
        <w:tc>
          <w:tcPr>
            <w:tcW w:w="76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92 307,5</w:t>
            </w:r>
          </w:p>
        </w:tc>
        <w:tc>
          <w:tcPr>
            <w:tcW w:w="61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327C5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94 </w:t>
            </w:r>
            <w:r w:rsidR="00327C52">
              <w:rPr>
                <w:rFonts w:cs="Times New Roman"/>
                <w:color w:val="000000"/>
                <w:sz w:val="24"/>
                <w:szCs w:val="24"/>
              </w:rPr>
              <w:t>782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39" w:type="pct"/>
          </w:tcPr>
          <w:p w:rsidR="008C5801" w:rsidRPr="008C5801" w:rsidRDefault="003F5209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309</w:t>
            </w:r>
            <w:r w:rsidR="000C1283" w:rsidRPr="000C128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741,0</w:t>
            </w:r>
          </w:p>
        </w:tc>
        <w:tc>
          <w:tcPr>
            <w:tcW w:w="980" w:type="pct"/>
          </w:tcPr>
          <w:p w:rsidR="008C5801" w:rsidRPr="008C5801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122 651,5</w:t>
            </w:r>
          </w:p>
        </w:tc>
        <w:tc>
          <w:tcPr>
            <w:tcW w:w="765" w:type="pct"/>
          </w:tcPr>
          <w:p w:rsidR="008C5801" w:rsidRPr="008C5801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27C52">
              <w:rPr>
                <w:rFonts w:cs="Times New Roman"/>
                <w:color w:val="000000"/>
                <w:sz w:val="24"/>
                <w:szCs w:val="24"/>
              </w:rPr>
              <w:t>92 307,5</w:t>
            </w:r>
          </w:p>
        </w:tc>
        <w:tc>
          <w:tcPr>
            <w:tcW w:w="615" w:type="pct"/>
          </w:tcPr>
          <w:p w:rsidR="008C5801" w:rsidRPr="008C5801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27C52">
              <w:rPr>
                <w:rFonts w:cs="Times New Roman"/>
                <w:color w:val="000000"/>
                <w:sz w:val="24"/>
                <w:szCs w:val="24"/>
              </w:rPr>
              <w:t>94 782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BF1323" w:rsidRDefault="00BF1323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C657BD" w:rsidRPr="00EF7BDB" w:rsidRDefault="00EF7BDB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lastRenderedPageBreak/>
        <w:t>Стратегические приоритеты в сфере реализации муниципальной программы</w:t>
      </w:r>
      <w:r w:rsidR="007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«</w:t>
      </w:r>
      <w:r w:rsidR="00303199" w:rsidRPr="00303199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»</w:t>
      </w:r>
    </w:p>
    <w:p w:rsidR="00EF7BDB" w:rsidRDefault="00EF7BDB" w:rsidP="00141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Жилищно-коммунальное хозяйство – важная отрасль экономики муниципального образования «город Десногорск» Смоленской области. 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образования.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Программа разработана на основе данных муниципальных предприятий и организаций, в которых имеется доля муниципальной собственности.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Градообразующим предприятием города Десногорска является Смоленская атомная станция. Реализация программы будет напрямую зависеть от дальнейшего развития  градообразующего предприятия:  строительство второй очереди Смоленской АЭС  повлечет за собой необходимость строительства значительных объемов жилья с социальной  инфраструктурой, для развития промышленного сектора экономики г. Десногорск необходимо создание  инженерной инфраструктуры в коммунально-складской зоне г. Десногорск.</w:t>
      </w:r>
    </w:p>
    <w:p w:rsidR="00353143" w:rsidRDefault="00353143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1.1. Состояние коммунальной инфраструктуры.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Современное  состояние объектов коммунальной инфраструктуры г. Десногорск характеризуется высокой степенью износа основного и вспомогательного оборудования (для большинства объектов процент износа составляет от 40% до 70%),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объектов. При этом от 20% до 80% городских инженерных коммуникаций отслужили нормативный срок. 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  <w:r w:rsidRPr="00303199">
        <w:rPr>
          <w:rFonts w:ascii="Times New Roman" w:hAnsi="Times New Roman" w:cs="Times New Roman"/>
          <w:sz w:val="24"/>
          <w:szCs w:val="24"/>
        </w:rPr>
        <w:tab/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Основной задачей предприятий коммунального комплекса являются обеспечение минимально необходимой устойчивости функционирования систем коммунальной инфраструктуры (прохождение очередного отопительного сезона без больших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Программы в части модернизации существующих систем. Основная доля износа приходится на сетевую инфраструктуру. Обеспечение жизнедеятельности коммунального комплекса города осуществляет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«ККП».</w:t>
      </w:r>
    </w:p>
    <w:p w:rsidR="00303199" w:rsidRPr="00303199" w:rsidRDefault="001973C0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AB">
        <w:rPr>
          <w:rFonts w:ascii="Times New Roman" w:hAnsi="Times New Roman" w:cs="Times New Roman"/>
          <w:sz w:val="24"/>
          <w:szCs w:val="24"/>
        </w:rPr>
        <w:t xml:space="preserve">Одним из приоритетов муниципальной политики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03199" w:rsidRPr="00303199">
        <w:rPr>
          <w:rFonts w:ascii="Times New Roman" w:hAnsi="Times New Roman" w:cs="Times New Roman"/>
          <w:sz w:val="24"/>
          <w:szCs w:val="24"/>
        </w:rPr>
        <w:t xml:space="preserve"> предоставление населению услуг тепло-, водоснабжения и водоотведения, снижение сверхнормативного износа объектов коммунальной инфраструктуры, модернизацию этих объектов путем внедрения </w:t>
      </w:r>
      <w:proofErr w:type="spellStart"/>
      <w:r w:rsidR="00303199" w:rsidRPr="00303199">
        <w:rPr>
          <w:rFonts w:ascii="Times New Roman" w:hAnsi="Times New Roman" w:cs="Times New Roman"/>
          <w:sz w:val="24"/>
          <w:szCs w:val="24"/>
        </w:rPr>
        <w:t>ресурсоэнергосберегающих</w:t>
      </w:r>
      <w:proofErr w:type="spellEnd"/>
      <w:r w:rsidR="00303199" w:rsidRPr="00303199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303199" w:rsidRPr="00550B0F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1.2. Состояние объектов благоустройства и озеленения города.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B0F">
        <w:rPr>
          <w:rFonts w:ascii="Times New Roman" w:hAnsi="Times New Roman" w:cs="Times New Roman"/>
          <w:sz w:val="24"/>
          <w:szCs w:val="24"/>
        </w:rPr>
        <w:t>К объектам благоустройства города относятся: лесопарковая зона 1,2,3,4,6 микрорайонов</w:t>
      </w:r>
      <w:r w:rsidR="00BC1D5E" w:rsidRPr="00550B0F">
        <w:rPr>
          <w:rFonts w:ascii="Times New Roman" w:hAnsi="Times New Roman" w:cs="Times New Roman"/>
          <w:sz w:val="24"/>
          <w:szCs w:val="24"/>
        </w:rPr>
        <w:t>, городские</w:t>
      </w:r>
      <w:r w:rsidRPr="00550B0F">
        <w:rPr>
          <w:rFonts w:ascii="Times New Roman" w:hAnsi="Times New Roman" w:cs="Times New Roman"/>
          <w:sz w:val="24"/>
          <w:szCs w:val="24"/>
        </w:rPr>
        <w:t xml:space="preserve"> газоны, цветники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, </w:t>
      </w:r>
      <w:r w:rsidRPr="00550B0F">
        <w:rPr>
          <w:rFonts w:ascii="Times New Roman" w:hAnsi="Times New Roman" w:cs="Times New Roman"/>
          <w:sz w:val="24"/>
          <w:szCs w:val="24"/>
        </w:rPr>
        <w:t>городской пляж, парковая зона отдыха с  городском фонтаном, эстрадой и городским общественным туалетом, малые архитектурные формы: памятники, скульптурные  композиции, детские игровые площадки, скамейки, урны  и т.д.</w:t>
      </w:r>
      <w:r w:rsidRPr="003031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 2009 году в целях обеспечения должного содержания объектов благоустройства и озеленения создана Служба благоустройства. Усилиями Службы благоустройства многие объекты благоустройства приведены в порядок.  С 2011 года Службе благоустройства выдается </w:t>
      </w:r>
      <w:r w:rsidRPr="00303199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задание на оказание муниципальных услуг по содержанию благоустройства и озеленения г. Десногорск. 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1.3. Состояние лесного фонда г. Десногорск.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Площадь лесов  муниципального образования «город Десногорск» Смоленской области составляет  1581 га.  К позитивным факторам расположения города Десногорска необходимо отнести выгодное географическое положение и развитую транспортную инфраструктуру, что повышает потенциал экономического развития. Лес оказывает огромное воздействие на состояние природных комплексов, выполняя такие биологические функции, как регулирование и фильтрация водного стока, предотвращение эрозии почвы, сохранение и повышение плодородия почв, сохранение биологического разнообразия, обеспечение атмосферы кислородом, благоприятное влияние на формирование климата и предотвращение загрязнения воздушного бассейна. Экологическое состояние городских лесов определяет долгосрочную перспективу использования природных ресурсов. Своевременное выявление источников загрязнений окружающей среды позволит обеспечить стабильное их использование. В целях сохранения городских лесов необходимо обеспечить защиту лесов от пожаров. На территории лесного участка преобладают насаждения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99">
        <w:rPr>
          <w:rFonts w:ascii="Times New Roman" w:hAnsi="Times New Roman" w:cs="Times New Roman"/>
          <w:sz w:val="24"/>
          <w:szCs w:val="24"/>
        </w:rPr>
        <w:t xml:space="preserve">IV  класса (92,4%) пожарной опасности. Средний класс пожарной опасности – III. В лесных насаждениях, имеющих III класс пожарной опасности, низовые и верховые пожары возможны в период летнего пожарного максимума. Обеспечение необходимого уровня пожарной безопасности и минимизация потерь вследствие лесных пожаров является фактором устойчивого социально-экономического развития города Десногорска. Особо </w:t>
      </w:r>
      <w:proofErr w:type="gramStart"/>
      <w:r w:rsidRPr="0030319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303199">
        <w:rPr>
          <w:rFonts w:ascii="Times New Roman" w:hAnsi="Times New Roman" w:cs="Times New Roman"/>
          <w:sz w:val="24"/>
          <w:szCs w:val="24"/>
        </w:rPr>
        <w:t xml:space="preserve"> имеет проведение предупредительных противопожарных мероприятий, направленных на предотвращение распространения пожаров в лесных массивах. Реализация мероприятий подпрограммы  позволит снизить социальные, экономические и экологические последствия лесных пожаров путем повышения оперативных возможностей лесничества по тушению лесных пожаров. В сфере реализации подпрограммы до настоящего времени остаются нерешенными такие проблемы, как недостаточная актуализация информационных данных о потенциале лесных ресурсов, их количественных и качественных характеристиках, отсутствие обобщенных данных государственного лесного реестра. Имеется необходимость в модернизации технологии лесоустроительных работ на основе современных дистанционных методов оценки лесных ресурсов и информационных технологий, в повышении уровня развития системы муниципального лесного надзора и системы государственного пожарного надзора в лесах.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1.4. Система уличного освещения.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Общая протяженность сети уличного освещения г. Десногорск, независимо от форм собственности,  составляет 4</w:t>
      </w:r>
      <w:r w:rsidR="00BC1D5E" w:rsidRPr="00550B0F">
        <w:rPr>
          <w:rFonts w:ascii="Times New Roman" w:hAnsi="Times New Roman" w:cs="Times New Roman"/>
          <w:sz w:val="24"/>
          <w:szCs w:val="24"/>
        </w:rPr>
        <w:t>8</w:t>
      </w:r>
      <w:r w:rsidRPr="00550B0F">
        <w:rPr>
          <w:rFonts w:ascii="Times New Roman" w:hAnsi="Times New Roman" w:cs="Times New Roman"/>
          <w:sz w:val="24"/>
          <w:szCs w:val="24"/>
        </w:rPr>
        <w:t xml:space="preserve"> км. В течение года на освещение территории г. Десногорск расходуется электроэнергия в объеме 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631 821 </w:t>
      </w:r>
      <w:r w:rsidRPr="00550B0F">
        <w:rPr>
          <w:rFonts w:ascii="Times New Roman" w:hAnsi="Times New Roman" w:cs="Times New Roman"/>
          <w:sz w:val="24"/>
          <w:szCs w:val="24"/>
        </w:rPr>
        <w:t>тыс. кВт/час.  Значительная</w:t>
      </w:r>
      <w:r w:rsidRPr="00303199">
        <w:rPr>
          <w:rFonts w:ascii="Times New Roman" w:hAnsi="Times New Roman" w:cs="Times New Roman"/>
          <w:sz w:val="24"/>
          <w:szCs w:val="24"/>
        </w:rPr>
        <w:t xml:space="preserve"> часть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3199">
        <w:rPr>
          <w:rFonts w:ascii="Times New Roman" w:hAnsi="Times New Roman" w:cs="Times New Roman"/>
          <w:sz w:val="24"/>
          <w:szCs w:val="24"/>
        </w:rPr>
        <w:t>г. Десногорск осв</w:t>
      </w:r>
      <w:r>
        <w:rPr>
          <w:rFonts w:ascii="Times New Roman" w:hAnsi="Times New Roman" w:cs="Times New Roman"/>
          <w:sz w:val="24"/>
          <w:szCs w:val="24"/>
        </w:rPr>
        <w:t>ещена в вечернее и ночное время</w:t>
      </w:r>
      <w:r w:rsidRPr="00303199">
        <w:rPr>
          <w:rFonts w:ascii="Times New Roman" w:hAnsi="Times New Roman" w:cs="Times New Roman"/>
          <w:sz w:val="24"/>
          <w:szCs w:val="24"/>
        </w:rPr>
        <w:t xml:space="preserve">. Часть линий уличного освещения нуждается в реконструкции с учетом требовании законодательства РФ об энергосбережении.  </w:t>
      </w:r>
    </w:p>
    <w:p w:rsidR="00EF7BDB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1.5.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» - единственное предприятие в г. Десногорск, предоставляющее услуги бани населению. В связи с тем, что баня является одним из элементов системы гражданской обороны г. Десногорск,  являющегося градообразующим предприятием при Смоленской АЭС, депутатами 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 городского Совета  было принято решение о муниципальном регулировании тарифов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>» в целях возмещения затрат, не компенсированных доходами  при оказании услуг бани.</w:t>
      </w:r>
    </w:p>
    <w:p w:rsidR="00F455AB" w:rsidRDefault="00F455AB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состоит из комплекса процессных мероприятий, основными задачами которых является обеспечение предоставления населению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есного</w:t>
      </w:r>
      <w:r w:rsidR="00181E0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455AB">
        <w:rPr>
          <w:rFonts w:ascii="Times New Roman" w:hAnsi="Times New Roman"/>
          <w:sz w:val="24"/>
          <w:szCs w:val="24"/>
        </w:rPr>
        <w:t>качественных услуг бани и организация содержания, ремонта и сохранности объектов благоустройства, сети уличного освещения, мест захоронения, городских лесов.</w:t>
      </w:r>
    </w:p>
    <w:p w:rsidR="00C829A7" w:rsidRPr="00C829A7" w:rsidRDefault="00C829A7" w:rsidP="00C829A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2 </w:t>
      </w:r>
      <w:r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 xml:space="preserve">Создание условий для обеспечения качественными </w:t>
      </w:r>
      <w:r w:rsidR="00303199" w:rsidRPr="00303199">
        <w:rPr>
          <w:rFonts w:ascii="Times New Roman" w:hAnsi="Times New Roman"/>
          <w:sz w:val="24"/>
          <w:szCs w:val="24"/>
        </w:rPr>
        <w:lastRenderedPageBreak/>
        <w:t>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:rsidR="0072346F" w:rsidRPr="00271948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:rsidR="0072346F" w:rsidRDefault="0072346F" w:rsidP="0072346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973C0" w:rsidRDefault="001973C0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5B5EBA" w:rsidRDefault="005B5EBA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1.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качественного обслуживания населения услугами бани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420CF" w:rsidRPr="00DA51B8" w:rsidRDefault="004F0686" w:rsidP="007420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CF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="007420CF"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420CF" w:rsidRPr="005B5EBA" w:rsidRDefault="00181E08" w:rsidP="00181E08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420CF" w:rsidRPr="00DA51B8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420CF" w:rsidRPr="00DA51B8" w:rsidRDefault="00F41BA6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7420CF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Pr="00DA51B8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277"/>
        <w:gridCol w:w="1133"/>
        <w:gridCol w:w="1133"/>
        <w:gridCol w:w="1275"/>
        <w:gridCol w:w="993"/>
        <w:gridCol w:w="1559"/>
        <w:gridCol w:w="1381"/>
      </w:tblGrid>
      <w:tr w:rsidR="00E26387" w:rsidRPr="00DA51B8" w:rsidTr="00E26387">
        <w:trPr>
          <w:tblHeader/>
          <w:jc w:val="center"/>
        </w:trPr>
        <w:tc>
          <w:tcPr>
            <w:tcW w:w="683" w:type="pct"/>
            <w:vMerge w:val="restart"/>
          </w:tcPr>
          <w:p w:rsidR="00E26387" w:rsidRPr="009878A9" w:rsidRDefault="00E26387" w:rsidP="00BF2F1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630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6E55FE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559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(к 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очередному финансовому году)2024</w:t>
            </w:r>
          </w:p>
        </w:tc>
        <w:tc>
          <w:tcPr>
            <w:tcW w:w="1888" w:type="pct"/>
            <w:gridSpan w:val="3"/>
            <w:vAlign w:val="center"/>
          </w:tcPr>
          <w:p w:rsidR="00E26387" w:rsidRPr="009878A9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81" w:type="pct"/>
            <w:vMerge w:val="restart"/>
          </w:tcPr>
          <w:p w:rsidR="00E26387" w:rsidRPr="009878A9" w:rsidRDefault="00E26387" w:rsidP="009878A9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683" w:type="pct"/>
            <w:vMerge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9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490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768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681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683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68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81" w:type="pct"/>
          </w:tcPr>
          <w:p w:rsidR="00E26387" w:rsidRPr="00DA51B8" w:rsidRDefault="00E26387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683" w:type="pct"/>
            <w:vAlign w:val="center"/>
          </w:tcPr>
          <w:p w:rsidR="00E26387" w:rsidRPr="005E1E83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cs="Times New Roman"/>
                <w:sz w:val="24"/>
                <w:szCs w:val="24"/>
              </w:rPr>
              <w:t xml:space="preserve"> баню</w:t>
            </w:r>
          </w:p>
          <w:p w:rsidR="00E26387" w:rsidRPr="00580B96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30" w:type="pct"/>
          </w:tcPr>
          <w:p w:rsidR="00E26387" w:rsidRDefault="00E26387" w:rsidP="009963D0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59" w:type="pct"/>
          </w:tcPr>
          <w:p w:rsidR="00E26387" w:rsidRDefault="00E26387" w:rsidP="009963D0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559" w:type="pct"/>
          </w:tcPr>
          <w:p w:rsidR="00E26387" w:rsidRPr="00657FAC" w:rsidRDefault="00E26387" w:rsidP="00E2638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00</w:t>
            </w:r>
            <w:r w:rsidR="00657FAC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29" w:type="pct"/>
            <w:shd w:val="clear" w:color="auto" w:fill="auto"/>
          </w:tcPr>
          <w:p w:rsidR="00E26387" w:rsidRDefault="00E211D4" w:rsidP="009963D0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90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68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81" w:type="pct"/>
          </w:tcPr>
          <w:p w:rsidR="00E26387" w:rsidRPr="00DA51B8" w:rsidRDefault="00E26387" w:rsidP="00181E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r w:rsidR="00181E08"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5328AA" w:rsidRDefault="005328AA" w:rsidP="00532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5EBA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2.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благоустройству территорий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917234" w:rsidRPr="00DA51B8" w:rsidTr="00491947">
        <w:trPr>
          <w:trHeight w:val="516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917234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ГХ и ПК г. Десногорска</w:t>
            </w:r>
          </w:p>
        </w:tc>
      </w:tr>
      <w:tr w:rsidR="00917234" w:rsidRPr="00DA51B8" w:rsidTr="005B5EBA">
        <w:trPr>
          <w:trHeight w:val="233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917234" w:rsidRPr="00DA51B8" w:rsidRDefault="005B5EBA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991"/>
        <w:gridCol w:w="1388"/>
        <w:gridCol w:w="1116"/>
        <w:gridCol w:w="956"/>
        <w:gridCol w:w="1215"/>
        <w:gridCol w:w="1218"/>
        <w:gridCol w:w="1817"/>
      </w:tblGrid>
      <w:tr w:rsidR="00E26387" w:rsidRPr="00DA51B8" w:rsidTr="00657FAC">
        <w:trPr>
          <w:tblHeader/>
          <w:jc w:val="center"/>
        </w:trPr>
        <w:tc>
          <w:tcPr>
            <w:tcW w:w="805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78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6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538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34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76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657FAC">
        <w:trPr>
          <w:trHeight w:val="448"/>
          <w:tblHeader/>
          <w:jc w:val="center"/>
        </w:trPr>
        <w:tc>
          <w:tcPr>
            <w:tcW w:w="805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76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657FAC">
        <w:trPr>
          <w:trHeight w:val="282"/>
          <w:tblHeader/>
          <w:jc w:val="center"/>
        </w:trPr>
        <w:tc>
          <w:tcPr>
            <w:tcW w:w="805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E26387" w:rsidRPr="00580B96" w:rsidRDefault="00E26387" w:rsidP="009963D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478" w:type="pct"/>
          </w:tcPr>
          <w:p w:rsidR="00E26387" w:rsidRPr="001E6065" w:rsidRDefault="00E26387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669" w:type="pct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8" w:type="pct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61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657FAC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657FAC" w:rsidRDefault="00657FAC" w:rsidP="009963D0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478" w:type="pct"/>
            <w:vAlign w:val="center"/>
          </w:tcPr>
          <w:p w:rsidR="00657FAC" w:rsidRPr="001E6065" w:rsidRDefault="00657FAC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669" w:type="pct"/>
          </w:tcPr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" w:type="pct"/>
          </w:tcPr>
          <w:p w:rsidR="00657FAC" w:rsidRDefault="00657FAC" w:rsidP="00657FAC">
            <w:pPr>
              <w:ind w:firstLine="0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1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</w:tcPr>
          <w:p w:rsidR="00657FAC" w:rsidRPr="00DA51B8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. «</w:t>
      </w: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содержанию лесного хозяйства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D358A3" w:rsidRPr="00DA51B8" w:rsidTr="00D358A3">
        <w:trPr>
          <w:trHeight w:val="516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358A3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ГХ и ПК г. Десногорска</w:t>
            </w:r>
          </w:p>
        </w:tc>
      </w:tr>
      <w:tr w:rsidR="00D358A3" w:rsidRPr="00DA51B8" w:rsidTr="00D358A3">
        <w:trPr>
          <w:trHeight w:val="233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34"/>
        <w:gridCol w:w="1138"/>
        <w:gridCol w:w="852"/>
        <w:gridCol w:w="1085"/>
        <w:gridCol w:w="1180"/>
        <w:gridCol w:w="1180"/>
        <w:gridCol w:w="1762"/>
      </w:tblGrid>
      <w:tr w:rsidR="00E26387" w:rsidRPr="00DA51B8" w:rsidTr="00371C05">
        <w:trPr>
          <w:tblHeader/>
          <w:jc w:val="center"/>
        </w:trPr>
        <w:tc>
          <w:tcPr>
            <w:tcW w:w="890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1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371C05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420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9" w:type="pct"/>
            <w:gridSpan w:val="3"/>
            <w:vAlign w:val="center"/>
          </w:tcPr>
          <w:p w:rsidR="00E26387" w:rsidRPr="009878A9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69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371C05">
        <w:trPr>
          <w:trHeight w:val="448"/>
          <w:tblHeader/>
          <w:jc w:val="center"/>
        </w:trPr>
        <w:tc>
          <w:tcPr>
            <w:tcW w:w="890" w:type="pct"/>
            <w:vMerge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6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371C05">
        <w:trPr>
          <w:trHeight w:val="282"/>
          <w:tblHeader/>
          <w:jc w:val="center"/>
        </w:trPr>
        <w:tc>
          <w:tcPr>
            <w:tcW w:w="890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420" w:type="pct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420" w:type="pct"/>
            <w:vAlign w:val="center"/>
          </w:tcPr>
          <w:p w:rsidR="00E26387" w:rsidRDefault="00371C05" w:rsidP="00E263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5E1E83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Уровень лесистости территории муниципального образования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Отношение количества случаев с установленными нарушителями лесного законодательства к общему количеству зарегистрирова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нных случаев нарушений лесного законодательства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Pr="00F455AB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Количество установленных стендов и других знаков и указателей, содержащих информацию о мерах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пожарной безопасности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Распространение листовок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:rsidR="00917234" w:rsidRDefault="00917234" w:rsidP="009172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50B0F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5EBA" w:rsidRPr="00550B0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90C6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="005B5EBA"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5B5EBA" w:rsidRPr="00DA51B8" w:rsidTr="00F800DF">
        <w:trPr>
          <w:trHeight w:val="516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5B5EBA" w:rsidRPr="005B5EBA" w:rsidRDefault="00181E08" w:rsidP="00181E08">
            <w:pPr>
              <w:ind w:firstLine="0"/>
              <w:rPr>
                <w:sz w:val="24"/>
                <w:szCs w:val="24"/>
              </w:rPr>
            </w:pPr>
            <w:proofErr w:type="spellStart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5B5EBA" w:rsidRPr="00DA51B8" w:rsidTr="00F800DF">
        <w:trPr>
          <w:trHeight w:val="700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5B5EBA" w:rsidRPr="00DA51B8" w:rsidRDefault="005B5EBA" w:rsidP="00F800D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4410D9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4410D9" w:rsidRDefault="00917234" w:rsidP="00D358A3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849"/>
        <w:gridCol w:w="1014"/>
        <w:gridCol w:w="1113"/>
        <w:gridCol w:w="1425"/>
        <w:gridCol w:w="1271"/>
        <w:gridCol w:w="1271"/>
        <w:gridCol w:w="1666"/>
      </w:tblGrid>
      <w:tr w:rsidR="00E26387" w:rsidRPr="00DA51B8" w:rsidTr="00E26387">
        <w:trPr>
          <w:tblHeader/>
          <w:jc w:val="center"/>
        </w:trPr>
        <w:tc>
          <w:tcPr>
            <w:tcW w:w="753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1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00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712A9">
              <w:rPr>
                <w:rFonts w:cs="Times New Roman"/>
                <w:color w:val="22272F"/>
                <w:sz w:val="22"/>
                <w:shd w:val="clear" w:color="auto" w:fill="FFFFFF"/>
              </w:rPr>
              <w:t>2021</w:t>
            </w:r>
          </w:p>
        </w:tc>
        <w:tc>
          <w:tcPr>
            <w:tcW w:w="549" w:type="pct"/>
            <w:vMerge w:val="restart"/>
          </w:tcPr>
          <w:p w:rsidR="00E26387" w:rsidRPr="009878A9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376271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1D2858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1957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753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3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  <w:p w:rsidR="006712A9" w:rsidRPr="00376271" w:rsidRDefault="006712A9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22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75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E26387">
        <w:trPr>
          <w:trHeight w:val="433"/>
          <w:jc w:val="center"/>
        </w:trPr>
        <w:tc>
          <w:tcPr>
            <w:tcW w:w="753" w:type="pct"/>
            <w:vAlign w:val="center"/>
          </w:tcPr>
          <w:p w:rsidR="00E26387" w:rsidRPr="004970CF" w:rsidRDefault="00E26387" w:rsidP="009963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4970CF">
              <w:rPr>
                <w:sz w:val="22"/>
              </w:rPr>
              <w:t xml:space="preserve">Расходы на обеспечение функций органов местного самоуправления   </w:t>
            </w:r>
          </w:p>
        </w:tc>
        <w:tc>
          <w:tcPr>
            <w:tcW w:w="419" w:type="pct"/>
            <w:vAlign w:val="center"/>
          </w:tcPr>
          <w:p w:rsidR="00E26387" w:rsidRPr="001E6065" w:rsidRDefault="00E26387" w:rsidP="00F800DF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22" w:type="pct"/>
          </w:tcPr>
          <w:p w:rsidR="00E26387" w:rsidRPr="00DA51B8" w:rsidRDefault="00181E08" w:rsidP="00F800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81E08">
              <w:rPr>
                <w:sz w:val="24"/>
                <w:szCs w:val="24"/>
              </w:rPr>
              <w:t>Федоренков</w:t>
            </w:r>
            <w:proofErr w:type="spellEnd"/>
            <w:r w:rsidRPr="00181E08">
              <w:rPr>
                <w:sz w:val="24"/>
                <w:szCs w:val="24"/>
              </w:rPr>
              <w:t xml:space="preserve"> Алексей Витальевич, заместитель Главы - начальник Управления        ГХ и ПК г. Десногорска</w:t>
            </w:r>
          </w:p>
        </w:tc>
      </w:tr>
    </w:tbl>
    <w:p w:rsidR="00917234" w:rsidRDefault="00917234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5.  «</w:t>
      </w:r>
      <w:r w:rsidR="00894D46" w:rsidRPr="00894D46">
        <w:rPr>
          <w:rFonts w:ascii="Times New Roman" w:hAnsi="Times New Roman" w:cs="Times New Roman"/>
          <w:b/>
          <w:sz w:val="24"/>
          <w:szCs w:val="24"/>
          <w:u w:val="single"/>
        </w:rPr>
        <w:t>Предотвращение и (или) снижение негативного воздействия хозяйственной и иной деятельности на окружающую среду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E1AB6" w:rsidRPr="007E1AB6" w:rsidRDefault="007E1AB6" w:rsidP="007E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E1AB6" w:rsidRPr="007E1AB6" w:rsidTr="000821A3">
        <w:trPr>
          <w:trHeight w:val="516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E1AB6" w:rsidRPr="007E1AB6" w:rsidRDefault="00181E08" w:rsidP="00181E0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E1AB6" w:rsidRPr="007E1AB6" w:rsidTr="000821A3">
        <w:trPr>
          <w:trHeight w:val="700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E1AB6" w:rsidRPr="007E1AB6" w:rsidRDefault="007E1AB6" w:rsidP="0038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249"/>
        <w:gridCol w:w="1157"/>
        <w:gridCol w:w="1422"/>
        <w:gridCol w:w="1332"/>
        <w:gridCol w:w="1138"/>
        <w:gridCol w:w="1138"/>
        <w:gridCol w:w="1700"/>
      </w:tblGrid>
      <w:tr w:rsidR="007E1AB6" w:rsidRPr="007E1AB6" w:rsidTr="000821A3">
        <w:trPr>
          <w:tblHeader/>
          <w:jc w:val="center"/>
        </w:trPr>
        <w:tc>
          <w:tcPr>
            <w:tcW w:w="897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7E1AB6" w:rsidRPr="007E1AB6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7E1AB6" w:rsidRPr="00376271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376271" w:rsidRPr="00376271" w:rsidRDefault="007E1AB6" w:rsidP="00376271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:rsidR="007E1AB6" w:rsidRPr="007E1AB6" w:rsidRDefault="006A435E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за достижение показателя</w:t>
            </w:r>
          </w:p>
        </w:tc>
      </w:tr>
      <w:tr w:rsidR="007E1AB6" w:rsidRPr="007E1AB6" w:rsidTr="000821A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E1AB6" w:rsidRPr="007E1AB6" w:rsidTr="000821A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AB6" w:rsidRPr="007E1AB6" w:rsidTr="00474BB7">
        <w:trPr>
          <w:trHeight w:val="433"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убранных несанкционированных свалок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Службы благоустройства</w:t>
            </w:r>
          </w:p>
        </w:tc>
      </w:tr>
    </w:tbl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.  «</w:t>
      </w:r>
      <w:r w:rsidRPr="00894D46">
        <w:rPr>
          <w:rFonts w:ascii="Times New Roman" w:hAnsi="Times New Roman" w:cs="Times New Roman"/>
          <w:b/>
          <w:sz w:val="24"/>
          <w:szCs w:val="24"/>
          <w:u w:val="single"/>
        </w:rPr>
        <w:t>Повышение качественности и надежности предоставления коммунальных услуг населению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894D46" w:rsidRPr="007E1AB6" w:rsidTr="00665F23">
        <w:trPr>
          <w:trHeight w:val="516"/>
          <w:jc w:val="center"/>
        </w:trPr>
        <w:tc>
          <w:tcPr>
            <w:tcW w:w="253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894D46" w:rsidRPr="007E1AB6" w:rsidRDefault="00A14A28" w:rsidP="00A14A2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Воронцов Андрей Николаевич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генеральный 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ООО «ККП»</w:t>
            </w:r>
          </w:p>
        </w:tc>
      </w:tr>
      <w:tr w:rsidR="00894D46" w:rsidRPr="007E1AB6" w:rsidTr="00665F23">
        <w:trPr>
          <w:trHeight w:val="700"/>
          <w:jc w:val="center"/>
        </w:trPr>
        <w:tc>
          <w:tcPr>
            <w:tcW w:w="253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1234"/>
        <w:gridCol w:w="1521"/>
        <w:gridCol w:w="1424"/>
        <w:gridCol w:w="1214"/>
        <w:gridCol w:w="1214"/>
        <w:gridCol w:w="1711"/>
      </w:tblGrid>
      <w:tr w:rsidR="00894D46" w:rsidRPr="007E1AB6" w:rsidTr="00665F23">
        <w:trPr>
          <w:tblHeader/>
          <w:jc w:val="center"/>
        </w:trPr>
        <w:tc>
          <w:tcPr>
            <w:tcW w:w="897" w:type="pct"/>
            <w:vMerge w:val="restar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(к очередному финансовому году)</w:t>
            </w:r>
          </w:p>
          <w:p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за достижение показателя</w:t>
            </w:r>
          </w:p>
        </w:tc>
      </w:tr>
      <w:tr w:rsidR="00894D46" w:rsidRPr="007E1AB6" w:rsidTr="00665F2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94D46" w:rsidRPr="007E1AB6" w:rsidTr="00665F2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8" w:type="pc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894D46" w:rsidRPr="007E1AB6" w:rsidRDefault="00894D46" w:rsidP="00665F23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4D46" w:rsidRPr="007E1AB6" w:rsidTr="00665F23">
        <w:trPr>
          <w:trHeight w:val="433"/>
          <w:jc w:val="center"/>
        </w:trPr>
        <w:tc>
          <w:tcPr>
            <w:tcW w:w="897" w:type="pct"/>
            <w:vAlign w:val="center"/>
          </w:tcPr>
          <w:p w:rsidR="00894D46" w:rsidRPr="007E1AB6" w:rsidRDefault="001855B2" w:rsidP="00665F23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МКД </w:t>
            </w:r>
            <w:proofErr w:type="gramStart"/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обеспеченных</w:t>
            </w:r>
            <w:proofErr w:type="gramEnd"/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качественными коммунальными услугами</w:t>
            </w:r>
          </w:p>
        </w:tc>
        <w:tc>
          <w:tcPr>
            <w:tcW w:w="588" w:type="pct"/>
          </w:tcPr>
          <w:p w:rsidR="00894D46" w:rsidRPr="007E1AB6" w:rsidRDefault="00894D46" w:rsidP="00665F23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894D46"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1855B2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1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5" w:type="pct"/>
          </w:tcPr>
          <w:p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Генеральный директор ООО «ККП»</w:t>
            </w:r>
          </w:p>
        </w:tc>
      </w:tr>
    </w:tbl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5 «Применение мер муниципального регулирования в части налоговых льгот, </w:t>
      </w:r>
      <w:r w:rsidRPr="00271948">
        <w:rPr>
          <w:rFonts w:ascii="Times New Roman" w:hAnsi="Times New Roman" w:cs="Times New Roman"/>
          <w:b/>
          <w:sz w:val="24"/>
          <w:szCs w:val="24"/>
        </w:rPr>
        <w:t>освобождений и иных преференций по налогам и сборам</w:t>
      </w:r>
      <w:r w:rsidRPr="00271948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1948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программа «</w:t>
      </w:r>
      <w:r w:rsidR="00BF2C53" w:rsidRPr="00BF2C53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E1680">
        <w:rPr>
          <w:rFonts w:ascii="Times New Roman" w:hAnsi="Times New Roman"/>
          <w:sz w:val="24"/>
          <w:szCs w:val="24"/>
        </w:rPr>
        <w:t>рименение мер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sz w:val="24"/>
          <w:szCs w:val="24"/>
        </w:rPr>
        <w:t xml:space="preserve"> не предусмотрено.</w:t>
      </w:r>
    </w:p>
    <w:p w:rsidR="0072346F" w:rsidRPr="00002E1D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B84" w:rsidRDefault="00EA2B84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A2B84" w:rsidSect="00F41BA6">
          <w:headerReference w:type="default" r:id="rId10"/>
          <w:pgSz w:w="11905" w:h="16838"/>
          <w:pgMar w:top="1134" w:right="567" w:bottom="1134" w:left="1418" w:header="295" w:footer="720" w:gutter="0"/>
          <w:cols w:space="720"/>
          <w:noEndnote/>
          <w:titlePg/>
          <w:docGrid w:linePitch="299"/>
        </w:sectPr>
      </w:pP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Приложение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Смоленской области от</w:t>
      </w:r>
      <w:r w:rsidR="002E0EAB">
        <w:rPr>
          <w:rFonts w:ascii="Times New Roman" w:hAnsi="Times New Roman"/>
          <w:sz w:val="20"/>
          <w:szCs w:val="20"/>
        </w:rPr>
        <w:t xml:space="preserve"> </w:t>
      </w:r>
      <w:r w:rsidR="002E0EAB" w:rsidRPr="002E0EAB">
        <w:rPr>
          <w:rFonts w:ascii="Times New Roman" w:hAnsi="Times New Roman"/>
          <w:sz w:val="20"/>
          <w:szCs w:val="20"/>
          <w:u w:val="single"/>
        </w:rPr>
        <w:t>27.10.2025</w:t>
      </w:r>
      <w:r w:rsidRPr="001B13A1">
        <w:rPr>
          <w:rFonts w:ascii="Times New Roman" w:hAnsi="Times New Roman"/>
          <w:sz w:val="20"/>
          <w:szCs w:val="20"/>
        </w:rPr>
        <w:t>_№_</w:t>
      </w:r>
      <w:r w:rsidR="002E0EAB" w:rsidRPr="002E0EAB">
        <w:rPr>
          <w:rFonts w:ascii="Times New Roman" w:hAnsi="Times New Roman"/>
          <w:sz w:val="20"/>
          <w:szCs w:val="20"/>
          <w:u w:val="single"/>
        </w:rPr>
        <w:t>1163</w:t>
      </w:r>
      <w:r w:rsidRPr="002E0EAB">
        <w:rPr>
          <w:rFonts w:ascii="Times New Roman" w:hAnsi="Times New Roman"/>
          <w:sz w:val="20"/>
          <w:szCs w:val="20"/>
          <w:u w:val="single"/>
        </w:rPr>
        <w:t>_</w:t>
      </w: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455145" w:rsidRPr="00DF1811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455145" w:rsidRPr="00DA51B8" w:rsidRDefault="00455145" w:rsidP="0045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01"/>
        <w:gridCol w:w="2409"/>
        <w:gridCol w:w="1847"/>
        <w:gridCol w:w="1418"/>
        <w:gridCol w:w="1416"/>
        <w:gridCol w:w="1276"/>
        <w:gridCol w:w="1417"/>
      </w:tblGrid>
      <w:tr w:rsidR="00455145" w:rsidRPr="00732791" w:rsidTr="001A68B7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1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7" w:type="dxa"/>
            <w:gridSpan w:val="4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55145" w:rsidRPr="00732791" w:rsidTr="001A68B7">
        <w:trPr>
          <w:trHeight w:val="327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6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1A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1A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181E0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455145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455145" w:rsidRPr="004156D1" w:rsidRDefault="00181E0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5514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55145">
              <w:rPr>
                <w:rFonts w:ascii="Times New Roman" w:hAnsi="Times New Roman" w:cs="Times New Roman"/>
                <w:sz w:val="20"/>
                <w:szCs w:val="20"/>
              </w:rPr>
              <w:t>Латона</w:t>
            </w:r>
            <w:proofErr w:type="spellEnd"/>
            <w:r w:rsidR="004551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60647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A776C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A776C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</w:tr>
      <w:tr w:rsidR="002E098E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098E" w:rsidRPr="002E098E" w:rsidRDefault="0060647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1 402,2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098E" w:rsidRPr="002E098E" w:rsidRDefault="003F47F8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181E0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455145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DA75A4" w:rsidP="00DA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214 765,3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DA75A4" w:rsidP="00DA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3F4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3F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2E098E" w:rsidP="003F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F47F8">
              <w:rPr>
                <w:rFonts w:ascii="Times New Roman" w:hAnsi="Times New Roman" w:cs="Times New Roman"/>
                <w:sz w:val="20"/>
                <w:szCs w:val="20"/>
              </w:rPr>
              <w:t>015,3</w:t>
            </w:r>
          </w:p>
        </w:tc>
      </w:tr>
      <w:tr w:rsidR="0060647E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Pr="00732791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60647E" w:rsidRPr="00732791" w:rsidRDefault="0060647E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60647E" w:rsidRPr="004156D1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Pr="00732791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sz w:val="20"/>
                <w:szCs w:val="20"/>
              </w:rPr>
              <w:t>59 269,6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19 943,4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60647E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Pr="00732791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60647E" w:rsidRDefault="0060647E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муниципального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Pr="0060647E" w:rsidRDefault="0060647E" w:rsidP="0060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60647E" w:rsidRPr="00181E08" w:rsidRDefault="0060647E" w:rsidP="0060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D6A" w:rsidRDefault="00A57D6A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A57D6A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7E" w:rsidRDefault="0060647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A4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276 15</w:t>
            </w:r>
            <w:r w:rsidR="003F47F8"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103 264,7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85 210,5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87 678,4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4156D1" w:rsidRDefault="00181E0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sz w:val="20"/>
                <w:szCs w:val="20"/>
              </w:rPr>
              <w:t>19 646,6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7 085,2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BA264C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59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3F47F8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19 646,6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3F47F8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7 085,2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50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1505" w:rsidRPr="00881505">
              <w:rPr>
                <w:rFonts w:ascii="Times New Roman" w:hAnsi="Times New Roman" w:cs="Times New Roman"/>
                <w:sz w:val="20"/>
                <w:szCs w:val="20"/>
              </w:rPr>
              <w:t>редотвращение и (или) снижение негативного воздействия хозяйственной и иной деятельности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181E08" w:rsidP="0018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736243" w:rsidRPr="00736243" w:rsidRDefault="00736243" w:rsidP="0018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43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3F47F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5C0C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</w:tr>
      <w:tr w:rsidR="001D1F2E" w:rsidRPr="00B90459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Default="001D1F2E" w:rsidP="001D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C01E86" w:rsidRDefault="001D1F2E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1F2E" w:rsidRPr="00732791" w:rsidRDefault="001D1F2E" w:rsidP="001D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1F2E" w:rsidRPr="00B90459" w:rsidRDefault="003F47F8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1F2E" w:rsidRPr="00B90459" w:rsidRDefault="003F47F8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B90459" w:rsidRDefault="001D1F2E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Default="001D1F2E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121,8</w:t>
            </w:r>
          </w:p>
          <w:p w:rsidR="001D1F2E" w:rsidRPr="00B90459" w:rsidRDefault="001D1F2E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81505" w:rsidRPr="00B90459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3E0867" w:rsidRDefault="00881505" w:rsidP="003E0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Default="00881505" w:rsidP="003E0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881505" w:rsidRPr="00EA2B84" w:rsidRDefault="00881505" w:rsidP="003E08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качественности и надежности предоставления коммунальных услуг населению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C01E86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505" w:rsidRPr="00732791" w:rsidRDefault="00881505" w:rsidP="001D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505" w:rsidRPr="00B90459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505" w:rsidRPr="00B90459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B90459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B90459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81505" w:rsidRPr="00B90459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3E0867" w:rsidRDefault="00881505" w:rsidP="003E0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3E0867" w:rsidRDefault="00881505" w:rsidP="003E0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Мероприятие 1.Предосталение субсидии обществу с ограниченной ответственностью «</w:t>
            </w:r>
            <w:r w:rsidRPr="00881505">
              <w:rPr>
                <w:rFonts w:ascii="Times New Roman" w:hAnsi="Times New Roman" w:cs="Times New Roman"/>
                <w:bCs/>
                <w:sz w:val="20"/>
                <w:szCs w:val="20"/>
              </w:rPr>
              <w:t>Комбинат коммунальных предприятий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» в виде вклада в имущество, не увеличивая его уставной капитал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52" w:rsidRDefault="00327C52" w:rsidP="003E0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5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ГХ и ПК                    г. Десногорска </w:t>
            </w:r>
          </w:p>
          <w:p w:rsidR="00881505" w:rsidRPr="00C01E86" w:rsidRDefault="00A036D5" w:rsidP="003E0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«ККП»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505" w:rsidRPr="00732791" w:rsidRDefault="00881505" w:rsidP="001D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505" w:rsidRPr="00881505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505" w:rsidRPr="00881505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881505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505" w:rsidRPr="00881505" w:rsidRDefault="00881505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1F2E" w:rsidRPr="00B90459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EA2B84" w:rsidRDefault="003E0867" w:rsidP="001D1F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C01E86" w:rsidRDefault="001D1F2E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1F2E" w:rsidRPr="00732791" w:rsidRDefault="001D1F2E" w:rsidP="001D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1F2E" w:rsidRPr="00B90459" w:rsidRDefault="003E0867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1F2E" w:rsidRPr="00B90459" w:rsidRDefault="003E0867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B90459" w:rsidRDefault="003E0867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2E" w:rsidRPr="00B90459" w:rsidRDefault="003E0867" w:rsidP="001D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DA75A4" w:rsidP="00DA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309</w:t>
            </w:r>
            <w:r w:rsidR="0089590C"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8959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A7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22 65</w:t>
            </w: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8959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B90459" w:rsidP="00DA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  <w:r w:rsidR="00DA7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782,0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DA75A4" w:rsidP="00DA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309</w:t>
            </w:r>
            <w:r w:rsidR="0089590C"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DA75A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122 65</w:t>
            </w:r>
            <w:r w:rsidR="0089590C"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8959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8959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  <w:r w:rsidR="00DA7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782</w:t>
            </w:r>
            <w:r w:rsidR="00DA7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455145" w:rsidRPr="00732791" w:rsidTr="001A6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5145" w:rsidSect="008A66A5">
          <w:pgSz w:w="16838" w:h="11905" w:orient="landscape"/>
          <w:pgMar w:top="992" w:right="1134" w:bottom="964" w:left="1134" w:header="295" w:footer="720" w:gutter="0"/>
          <w:cols w:space="720"/>
          <w:noEndnote/>
          <w:titlePg/>
          <w:docGrid w:linePitch="299"/>
        </w:sectPr>
      </w:pPr>
    </w:p>
    <w:p w:rsidR="003F67EC" w:rsidRDefault="003F67EC" w:rsidP="002E0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FA" w:rsidRDefault="00AC68FA" w:rsidP="0063240D">
      <w:pPr>
        <w:spacing w:after="0" w:line="240" w:lineRule="auto"/>
      </w:pPr>
      <w:r>
        <w:separator/>
      </w:r>
    </w:p>
  </w:endnote>
  <w:endnote w:type="continuationSeparator" w:id="0">
    <w:p w:rsidR="00AC68FA" w:rsidRDefault="00AC68FA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FA" w:rsidRDefault="00AC68FA" w:rsidP="0063240D">
      <w:pPr>
        <w:spacing w:after="0" w:line="240" w:lineRule="auto"/>
      </w:pPr>
      <w:r>
        <w:separator/>
      </w:r>
    </w:p>
  </w:footnote>
  <w:footnote w:type="continuationSeparator" w:id="0">
    <w:p w:rsidR="00AC68FA" w:rsidRDefault="00AC68FA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976194"/>
      <w:docPartObj>
        <w:docPartGallery w:val="Page Numbers (Top of Page)"/>
        <w:docPartUnique/>
      </w:docPartObj>
    </w:sdtPr>
    <w:sdtEndPr/>
    <w:sdtContent>
      <w:p w:rsidR="003F5209" w:rsidRDefault="003F52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AB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697"/>
    <w:rsid w:val="000B0C99"/>
    <w:rsid w:val="000B19A6"/>
    <w:rsid w:val="000B499B"/>
    <w:rsid w:val="000B6D73"/>
    <w:rsid w:val="000C1221"/>
    <w:rsid w:val="000C1283"/>
    <w:rsid w:val="000C1D6A"/>
    <w:rsid w:val="000C226A"/>
    <w:rsid w:val="000C3E5F"/>
    <w:rsid w:val="000C3F43"/>
    <w:rsid w:val="000C5362"/>
    <w:rsid w:val="000D1DA7"/>
    <w:rsid w:val="000D218E"/>
    <w:rsid w:val="000D5178"/>
    <w:rsid w:val="000D5B36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5AC4"/>
    <w:rsid w:val="00181A92"/>
    <w:rsid w:val="00181E08"/>
    <w:rsid w:val="0018447E"/>
    <w:rsid w:val="00184A4A"/>
    <w:rsid w:val="00184CC3"/>
    <w:rsid w:val="001855B2"/>
    <w:rsid w:val="0018724A"/>
    <w:rsid w:val="001876B1"/>
    <w:rsid w:val="00195F73"/>
    <w:rsid w:val="00196306"/>
    <w:rsid w:val="00196ABB"/>
    <w:rsid w:val="001973C0"/>
    <w:rsid w:val="0019754B"/>
    <w:rsid w:val="001A22DD"/>
    <w:rsid w:val="001A586C"/>
    <w:rsid w:val="001A68B7"/>
    <w:rsid w:val="001B0E6B"/>
    <w:rsid w:val="001B5F7E"/>
    <w:rsid w:val="001B7F00"/>
    <w:rsid w:val="001C1EBE"/>
    <w:rsid w:val="001C2E99"/>
    <w:rsid w:val="001C67D6"/>
    <w:rsid w:val="001C772D"/>
    <w:rsid w:val="001C798E"/>
    <w:rsid w:val="001D087A"/>
    <w:rsid w:val="001D0DB3"/>
    <w:rsid w:val="001D1F2E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23FB"/>
    <w:rsid w:val="001E7B33"/>
    <w:rsid w:val="001F373B"/>
    <w:rsid w:val="001F67E2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098E"/>
    <w:rsid w:val="002E0EAB"/>
    <w:rsid w:val="002E128A"/>
    <w:rsid w:val="002E1DCF"/>
    <w:rsid w:val="002E4302"/>
    <w:rsid w:val="002E49F2"/>
    <w:rsid w:val="002E6F30"/>
    <w:rsid w:val="002F2AEA"/>
    <w:rsid w:val="002F51FF"/>
    <w:rsid w:val="002F5504"/>
    <w:rsid w:val="002F5A3E"/>
    <w:rsid w:val="002F7DEA"/>
    <w:rsid w:val="00300790"/>
    <w:rsid w:val="00303199"/>
    <w:rsid w:val="00304453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27C52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3143"/>
    <w:rsid w:val="00353BCF"/>
    <w:rsid w:val="00357657"/>
    <w:rsid w:val="00367720"/>
    <w:rsid w:val="003707BB"/>
    <w:rsid w:val="00371C05"/>
    <w:rsid w:val="00376271"/>
    <w:rsid w:val="0038575C"/>
    <w:rsid w:val="00385A66"/>
    <w:rsid w:val="00386EA1"/>
    <w:rsid w:val="00390829"/>
    <w:rsid w:val="00391F81"/>
    <w:rsid w:val="00395033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867"/>
    <w:rsid w:val="003E0B82"/>
    <w:rsid w:val="003E525C"/>
    <w:rsid w:val="003E5634"/>
    <w:rsid w:val="003F1BE6"/>
    <w:rsid w:val="003F2457"/>
    <w:rsid w:val="003F47F8"/>
    <w:rsid w:val="003F5209"/>
    <w:rsid w:val="003F62F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4BB7"/>
    <w:rsid w:val="0047615E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A2B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6606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47E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57FAC"/>
    <w:rsid w:val="00660BB9"/>
    <w:rsid w:val="00661D62"/>
    <w:rsid w:val="00665F23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1F52"/>
    <w:rsid w:val="006A32E0"/>
    <w:rsid w:val="006A435E"/>
    <w:rsid w:val="006A4C3B"/>
    <w:rsid w:val="006A7B3C"/>
    <w:rsid w:val="006B2DD6"/>
    <w:rsid w:val="006B3ECB"/>
    <w:rsid w:val="006B4271"/>
    <w:rsid w:val="006C16EA"/>
    <w:rsid w:val="006D035E"/>
    <w:rsid w:val="006D1F20"/>
    <w:rsid w:val="006D68C2"/>
    <w:rsid w:val="006E1FE1"/>
    <w:rsid w:val="006E55FE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021D"/>
    <w:rsid w:val="00732791"/>
    <w:rsid w:val="00733F91"/>
    <w:rsid w:val="00736243"/>
    <w:rsid w:val="007420CF"/>
    <w:rsid w:val="007437D2"/>
    <w:rsid w:val="007453F9"/>
    <w:rsid w:val="007459AE"/>
    <w:rsid w:val="00745E72"/>
    <w:rsid w:val="00747365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F107C"/>
    <w:rsid w:val="007F212B"/>
    <w:rsid w:val="008005CE"/>
    <w:rsid w:val="0080756B"/>
    <w:rsid w:val="00807E70"/>
    <w:rsid w:val="00813390"/>
    <w:rsid w:val="008229F6"/>
    <w:rsid w:val="008249F8"/>
    <w:rsid w:val="00827766"/>
    <w:rsid w:val="00830C72"/>
    <w:rsid w:val="00831D65"/>
    <w:rsid w:val="00836D1C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75481"/>
    <w:rsid w:val="008800AE"/>
    <w:rsid w:val="008812A5"/>
    <w:rsid w:val="00881505"/>
    <w:rsid w:val="008834DF"/>
    <w:rsid w:val="0088473E"/>
    <w:rsid w:val="00886206"/>
    <w:rsid w:val="00893577"/>
    <w:rsid w:val="00894D46"/>
    <w:rsid w:val="00895492"/>
    <w:rsid w:val="0089590C"/>
    <w:rsid w:val="008A4023"/>
    <w:rsid w:val="008A5764"/>
    <w:rsid w:val="008A5FAD"/>
    <w:rsid w:val="008A66A5"/>
    <w:rsid w:val="008A74FC"/>
    <w:rsid w:val="008B285D"/>
    <w:rsid w:val="008B3CCC"/>
    <w:rsid w:val="008B51EE"/>
    <w:rsid w:val="008B5CE7"/>
    <w:rsid w:val="008C02AA"/>
    <w:rsid w:val="008C1AF1"/>
    <w:rsid w:val="008C4133"/>
    <w:rsid w:val="008C5801"/>
    <w:rsid w:val="008C7F18"/>
    <w:rsid w:val="008D1CCC"/>
    <w:rsid w:val="008D6C72"/>
    <w:rsid w:val="008E0002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4F46"/>
    <w:rsid w:val="009163E6"/>
    <w:rsid w:val="00917234"/>
    <w:rsid w:val="009177D5"/>
    <w:rsid w:val="00921D38"/>
    <w:rsid w:val="00922204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09C6"/>
    <w:rsid w:val="00991AE5"/>
    <w:rsid w:val="009963D0"/>
    <w:rsid w:val="00997D5C"/>
    <w:rsid w:val="009A29DB"/>
    <w:rsid w:val="009B0E28"/>
    <w:rsid w:val="009B161A"/>
    <w:rsid w:val="009B19CE"/>
    <w:rsid w:val="009B23FF"/>
    <w:rsid w:val="009B3A4D"/>
    <w:rsid w:val="009B450F"/>
    <w:rsid w:val="009C5D75"/>
    <w:rsid w:val="009D1E56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36D5"/>
    <w:rsid w:val="00A07D02"/>
    <w:rsid w:val="00A104BB"/>
    <w:rsid w:val="00A11939"/>
    <w:rsid w:val="00A125A3"/>
    <w:rsid w:val="00A14A28"/>
    <w:rsid w:val="00A15725"/>
    <w:rsid w:val="00A209A8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3475"/>
    <w:rsid w:val="00A543F2"/>
    <w:rsid w:val="00A562B1"/>
    <w:rsid w:val="00A57275"/>
    <w:rsid w:val="00A577A6"/>
    <w:rsid w:val="00A5791E"/>
    <w:rsid w:val="00A57D6A"/>
    <w:rsid w:val="00A607F9"/>
    <w:rsid w:val="00A612C3"/>
    <w:rsid w:val="00A67B68"/>
    <w:rsid w:val="00A722A5"/>
    <w:rsid w:val="00A776CC"/>
    <w:rsid w:val="00A80BF6"/>
    <w:rsid w:val="00A85FC7"/>
    <w:rsid w:val="00A87EB5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C68FA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AF7B77"/>
    <w:rsid w:val="00AF7CFD"/>
    <w:rsid w:val="00B058F7"/>
    <w:rsid w:val="00B079F7"/>
    <w:rsid w:val="00B1017C"/>
    <w:rsid w:val="00B11A23"/>
    <w:rsid w:val="00B15648"/>
    <w:rsid w:val="00B201B2"/>
    <w:rsid w:val="00B208C8"/>
    <w:rsid w:val="00B231A8"/>
    <w:rsid w:val="00B263F0"/>
    <w:rsid w:val="00B27382"/>
    <w:rsid w:val="00B34660"/>
    <w:rsid w:val="00B36F54"/>
    <w:rsid w:val="00B4208C"/>
    <w:rsid w:val="00B44BD5"/>
    <w:rsid w:val="00B45532"/>
    <w:rsid w:val="00B4684C"/>
    <w:rsid w:val="00B50218"/>
    <w:rsid w:val="00B53DC5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0459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B491B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7190"/>
    <w:rsid w:val="00C11216"/>
    <w:rsid w:val="00C1185F"/>
    <w:rsid w:val="00C12E79"/>
    <w:rsid w:val="00C12F54"/>
    <w:rsid w:val="00C151BB"/>
    <w:rsid w:val="00C163AD"/>
    <w:rsid w:val="00C2043A"/>
    <w:rsid w:val="00C31EF5"/>
    <w:rsid w:val="00C338CF"/>
    <w:rsid w:val="00C409B9"/>
    <w:rsid w:val="00C42CA4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0F26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6A42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A75A4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331B"/>
    <w:rsid w:val="00E14E91"/>
    <w:rsid w:val="00E15513"/>
    <w:rsid w:val="00E1759C"/>
    <w:rsid w:val="00E17A86"/>
    <w:rsid w:val="00E17C8F"/>
    <w:rsid w:val="00E211D4"/>
    <w:rsid w:val="00E26387"/>
    <w:rsid w:val="00E34B25"/>
    <w:rsid w:val="00E37A01"/>
    <w:rsid w:val="00E40E82"/>
    <w:rsid w:val="00E41C36"/>
    <w:rsid w:val="00E56C85"/>
    <w:rsid w:val="00E57D0B"/>
    <w:rsid w:val="00E60DD9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0876"/>
    <w:rsid w:val="00EE7FDF"/>
    <w:rsid w:val="00EF17FA"/>
    <w:rsid w:val="00EF1CD4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D168-8FFA-4A3E-8B57-BC2E625E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5741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2025-10-23T07:45:00Z</cp:lastPrinted>
  <dcterms:created xsi:type="dcterms:W3CDTF">2025-10-28T10:33:00Z</dcterms:created>
  <dcterms:modified xsi:type="dcterms:W3CDTF">2025-10-28T10:33:00Z</dcterms:modified>
</cp:coreProperties>
</file>