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00" w:rsidRDefault="00E42C00" w:rsidP="00E42C00">
      <w:pPr>
        <w:pStyle w:val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-31750</wp:posOffset>
                </wp:positionV>
                <wp:extent cx="5429250" cy="1067435"/>
                <wp:effectExtent l="13970" t="6350" r="508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00" w:rsidRDefault="00E42C00" w:rsidP="00E42C00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E42C00" w:rsidRDefault="00E42C00" w:rsidP="00E42C00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E42C00" w:rsidRDefault="00E42C00" w:rsidP="00E42C00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E42C00" w:rsidRDefault="00E42C00" w:rsidP="00E42C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42C00" w:rsidRDefault="00E42C00" w:rsidP="00E42C0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85pt;margin-top:-2.5pt;width:427.5pt;height:8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" strokecolor="white">
                <v:textbox>
                  <w:txbxContent>
                    <w:p w:rsidR="00E42C00" w:rsidRDefault="00E42C00" w:rsidP="00E42C00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E42C00" w:rsidRDefault="00E42C00" w:rsidP="00E42C00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E42C00" w:rsidRDefault="00E42C00" w:rsidP="00E42C00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E42C00" w:rsidRDefault="00E42C00" w:rsidP="00E42C0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42C00" w:rsidRDefault="00E42C00" w:rsidP="00E42C0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7220" cy="777240"/>
            <wp:effectExtent l="0" t="0" r="0" b="381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:rsidR="00E42C00" w:rsidRDefault="00E42C00" w:rsidP="00E42C00">
      <w:pPr>
        <w:pStyle w:val="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42C00" w:rsidRDefault="00E42C00" w:rsidP="00E42C00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:rsidR="00E42C00" w:rsidRDefault="00E42C00" w:rsidP="00E42C00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E42C00" w:rsidRDefault="00E42C00" w:rsidP="00E42C00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E42C00" w:rsidRPr="003A4272" w:rsidRDefault="00E42C00" w:rsidP="00E42C00">
      <w:pPr>
        <w:rPr>
          <w:rFonts w:ascii="Times New Roman" w:hAnsi="Times New Roman"/>
          <w:sz w:val="24"/>
          <w:szCs w:val="28"/>
          <w:u w:val="single"/>
        </w:rPr>
      </w:pPr>
      <w:r w:rsidRPr="003A4272">
        <w:rPr>
          <w:rFonts w:ascii="Times New Roman" w:hAnsi="Times New Roman"/>
          <w:sz w:val="24"/>
          <w:szCs w:val="28"/>
          <w:u w:val="single"/>
        </w:rPr>
        <w:t xml:space="preserve">от  </w:t>
      </w:r>
      <w:r w:rsidR="003A4272" w:rsidRPr="003A4272">
        <w:rPr>
          <w:rFonts w:ascii="Times New Roman" w:hAnsi="Times New Roman"/>
          <w:sz w:val="24"/>
          <w:szCs w:val="28"/>
          <w:u w:val="single"/>
        </w:rPr>
        <w:t xml:space="preserve">22.10.2025 </w:t>
      </w:r>
      <w:r w:rsidRPr="003A4272">
        <w:rPr>
          <w:rFonts w:ascii="Times New Roman" w:hAnsi="Times New Roman"/>
          <w:sz w:val="24"/>
          <w:szCs w:val="28"/>
          <w:u w:val="single"/>
        </w:rPr>
        <w:t>№</w:t>
      </w:r>
      <w:r w:rsidR="003A4272" w:rsidRPr="003A4272">
        <w:rPr>
          <w:rFonts w:ascii="Times New Roman" w:hAnsi="Times New Roman"/>
          <w:sz w:val="24"/>
          <w:szCs w:val="28"/>
          <w:u w:val="single"/>
        </w:rPr>
        <w:t xml:space="preserve"> 1151</w:t>
      </w:r>
    </w:p>
    <w:p w:rsidR="00E42C00" w:rsidRDefault="00E42C00" w:rsidP="00E42C00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E42C00" w:rsidRDefault="00E42C00" w:rsidP="00E42C00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644"/>
        <w:gridCol w:w="5069"/>
      </w:tblGrid>
      <w:tr w:rsidR="00E42C00" w:rsidTr="00E42C00">
        <w:tc>
          <w:tcPr>
            <w:tcW w:w="4644" w:type="dxa"/>
          </w:tcPr>
          <w:p w:rsidR="00E42C00" w:rsidRDefault="00E42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E42C00">
              <w:rPr>
                <w:rFonts w:ascii="Times New Roman" w:hAnsi="Times New Roman"/>
                <w:b/>
                <w:sz w:val="24"/>
                <w:szCs w:val="26"/>
              </w:rPr>
              <w:t>Об утверждении Порядка проведения реинжиниринга процессов</w:t>
            </w:r>
            <w:r w:rsidR="00A55954">
              <w:rPr>
                <w:rFonts w:ascii="Times New Roman" w:hAnsi="Times New Roman"/>
                <w:b/>
                <w:sz w:val="24"/>
                <w:szCs w:val="26"/>
              </w:rPr>
              <w:t xml:space="preserve">                             в А</w:t>
            </w:r>
            <w:r w:rsidRPr="00E42C00">
              <w:rPr>
                <w:rFonts w:ascii="Times New Roman" w:hAnsi="Times New Roman"/>
                <w:b/>
                <w:sz w:val="24"/>
                <w:szCs w:val="26"/>
              </w:rPr>
              <w:t xml:space="preserve">дминистрации муниципального образования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«город Десногорск» Смоленской области</w:t>
            </w:r>
            <w:r w:rsidR="00815AEB">
              <w:rPr>
                <w:rFonts w:ascii="Times New Roman" w:hAnsi="Times New Roman"/>
                <w:b/>
                <w:sz w:val="24"/>
                <w:szCs w:val="26"/>
              </w:rPr>
              <w:t xml:space="preserve"> и ее структурных подразделениях</w:t>
            </w:r>
          </w:p>
          <w:p w:rsidR="00E42C00" w:rsidRDefault="00E42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E42C00" w:rsidRDefault="00E42C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69" w:type="dxa"/>
          </w:tcPr>
          <w:p w:rsidR="00E42C00" w:rsidRDefault="00E42C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E42C00" w:rsidRPr="00E42C00" w:rsidRDefault="00E42C00" w:rsidP="00E42C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0" w:name="_Hlk200117808"/>
      <w:proofErr w:type="gramStart"/>
      <w:r w:rsidRPr="00E42C00">
        <w:rPr>
          <w:rFonts w:ascii="Times New Roman" w:hAnsi="Times New Roman"/>
          <w:sz w:val="24"/>
          <w:szCs w:val="24"/>
        </w:rPr>
        <w:t>В рамках реализации федерального проекта «Государство для людей», в целях совершенствования работы по взаимодействию с гражданами, субъектами предпринимательской и эконо</w:t>
      </w:r>
      <w:r w:rsidR="00CA5869">
        <w:rPr>
          <w:rFonts w:ascii="Times New Roman" w:hAnsi="Times New Roman"/>
          <w:sz w:val="24"/>
          <w:szCs w:val="24"/>
        </w:rPr>
        <w:t xml:space="preserve">мической деятельности, а также </w:t>
      </w:r>
      <w:r w:rsidRPr="00E42C00">
        <w:rPr>
          <w:rFonts w:ascii="Times New Roman" w:hAnsi="Times New Roman"/>
          <w:sz w:val="24"/>
          <w:szCs w:val="24"/>
        </w:rPr>
        <w:t xml:space="preserve">в целях внедрения стандартов </w:t>
      </w:r>
      <w:proofErr w:type="spellStart"/>
      <w:r w:rsidRPr="00E42C00">
        <w:rPr>
          <w:rFonts w:ascii="Times New Roman" w:hAnsi="Times New Roman"/>
          <w:sz w:val="24"/>
          <w:szCs w:val="24"/>
        </w:rPr>
        <w:t>клиентоцентричности</w:t>
      </w:r>
      <w:proofErr w:type="spellEnd"/>
      <w:r w:rsidRPr="00E42C00">
        <w:rPr>
          <w:rFonts w:ascii="Times New Roman" w:hAnsi="Times New Roman"/>
          <w:sz w:val="24"/>
          <w:szCs w:val="24"/>
        </w:rPr>
        <w:t>,</w:t>
      </w:r>
      <w:r w:rsidR="00CA5869">
        <w:rPr>
          <w:rFonts w:ascii="Times New Roman" w:hAnsi="Times New Roman"/>
          <w:sz w:val="24"/>
          <w:szCs w:val="24"/>
        </w:rPr>
        <w:t xml:space="preserve"> в соответствии </w:t>
      </w:r>
      <w:r w:rsidRPr="00E42C00">
        <w:rPr>
          <w:rFonts w:ascii="Times New Roman" w:hAnsi="Times New Roman"/>
          <w:sz w:val="24"/>
          <w:szCs w:val="24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bookmarkEnd w:id="0"/>
      <w:r>
        <w:rPr>
          <w:rFonts w:ascii="Times New Roman" w:hAnsi="Times New Roman"/>
          <w:sz w:val="24"/>
          <w:szCs w:val="24"/>
        </w:rPr>
        <w:t>Федеральным</w:t>
      </w:r>
      <w:r w:rsidRPr="00E42C00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 от 20.03.2025 №</w:t>
      </w:r>
      <w:r w:rsidRPr="00E42C00">
        <w:rPr>
          <w:rFonts w:ascii="Times New Roman" w:hAnsi="Times New Roman"/>
          <w:sz w:val="24"/>
          <w:szCs w:val="24"/>
        </w:rPr>
        <w:t xml:space="preserve"> 33-ФЗ "Об общих принципах организации местного самоуправления в единой системе публичной</w:t>
      </w:r>
      <w:proofErr w:type="gramEnd"/>
      <w:r w:rsidRPr="00E42C00">
        <w:rPr>
          <w:rFonts w:ascii="Times New Roman" w:hAnsi="Times New Roman"/>
          <w:sz w:val="24"/>
          <w:szCs w:val="24"/>
        </w:rPr>
        <w:t xml:space="preserve"> власти"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2C00">
        <w:rPr>
          <w:rFonts w:ascii="Times New Roman" w:hAnsi="Times New Roman"/>
          <w:sz w:val="24"/>
          <w:szCs w:val="24"/>
        </w:rPr>
        <w:t>руководствуясь Уставом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</w:t>
      </w:r>
      <w:r w:rsidR="00A55954">
        <w:rPr>
          <w:rFonts w:ascii="Times New Roman" w:hAnsi="Times New Roman"/>
          <w:sz w:val="24"/>
          <w:szCs w:val="24"/>
        </w:rPr>
        <w:t>городской округ город Десногорск</w:t>
      </w:r>
      <w:r>
        <w:rPr>
          <w:rFonts w:ascii="Times New Roman" w:hAnsi="Times New Roman"/>
          <w:sz w:val="24"/>
          <w:szCs w:val="24"/>
        </w:rPr>
        <w:t xml:space="preserve"> Смоленской области</w:t>
      </w:r>
      <w:r w:rsidR="00A55954">
        <w:rPr>
          <w:rFonts w:ascii="Times New Roman" w:hAnsi="Times New Roman"/>
          <w:sz w:val="24"/>
          <w:szCs w:val="24"/>
        </w:rPr>
        <w:t>»</w:t>
      </w:r>
      <w:r w:rsidR="00E007C0">
        <w:rPr>
          <w:rFonts w:ascii="Times New Roman" w:hAnsi="Times New Roman"/>
          <w:sz w:val="24"/>
          <w:szCs w:val="24"/>
        </w:rPr>
        <w:t>,</w:t>
      </w:r>
    </w:p>
    <w:p w:rsidR="00E42C00" w:rsidRDefault="00E42C00" w:rsidP="00E42C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C00" w:rsidRDefault="00E42C00" w:rsidP="00E42C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C00" w:rsidRPr="00E42C00" w:rsidRDefault="00E42C00" w:rsidP="00E42C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  <w:t>Администрация муниципального образования «город Десногорск» Смоленской области постановляет:</w:t>
      </w:r>
    </w:p>
    <w:p w:rsidR="00E42C00" w:rsidRPr="00E42C00" w:rsidRDefault="00E42C00" w:rsidP="00E42C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42C00" w:rsidRDefault="00E42C00" w:rsidP="00E42C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42C00" w:rsidRPr="00E42C00" w:rsidRDefault="00E42C00" w:rsidP="00E42C0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2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r w:rsidR="00D10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прилагаемый </w:t>
      </w:r>
      <w:r w:rsidRPr="00E42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провед</w:t>
      </w:r>
      <w:r w:rsidR="00A55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ения реинжиниринга процессов в А</w:t>
      </w:r>
      <w:r w:rsidRPr="00E42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дминистрации муниципального образования «город Десногорск» Смоленской области</w:t>
      </w:r>
      <w:r w:rsidR="00A55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1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ее структурных подразделениях</w:t>
      </w:r>
      <w:r w:rsidRPr="00E42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2C00" w:rsidRDefault="00E42C00" w:rsidP="00E42C0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E42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8"/>
          <w:lang w:eastAsia="zh-CN"/>
        </w:rPr>
        <w:t>Отделу информационных технол</w:t>
      </w:r>
      <w:r w:rsidR="00D17F34">
        <w:rPr>
          <w:rFonts w:ascii="Times New Roman" w:hAnsi="Times New Roman"/>
          <w:sz w:val="24"/>
          <w:szCs w:val="28"/>
          <w:lang w:eastAsia="zh-CN"/>
        </w:rPr>
        <w:t xml:space="preserve">огий и связи с общественностью </w:t>
      </w:r>
      <w:proofErr w:type="gramStart"/>
      <w:r w:rsidR="00B44424">
        <w:rPr>
          <w:rFonts w:ascii="Times New Roman" w:hAnsi="Times New Roman"/>
          <w:sz w:val="24"/>
          <w:szCs w:val="28"/>
          <w:lang w:eastAsia="zh-CN"/>
        </w:rPr>
        <w:t>разместить</w:t>
      </w:r>
      <w:proofErr w:type="gramEnd"/>
      <w:r w:rsidR="00B44424">
        <w:rPr>
          <w:rFonts w:ascii="Times New Roman" w:hAnsi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/>
          <w:sz w:val="24"/>
          <w:szCs w:val="28"/>
          <w:lang w:eastAsia="zh-CN"/>
        </w:rPr>
        <w:t>настоящее постановление на официальном сайте Администрации муниципального образования «город Десногорск» Смоленской области в информационно</w:t>
      </w:r>
      <w:r w:rsidR="005A712A">
        <w:rPr>
          <w:rFonts w:ascii="Times New Roman" w:hAnsi="Times New Roman"/>
          <w:sz w:val="24"/>
          <w:szCs w:val="28"/>
          <w:lang w:eastAsia="zh-CN"/>
        </w:rPr>
        <w:t>-</w:t>
      </w:r>
      <w:r>
        <w:rPr>
          <w:rFonts w:ascii="Times New Roman" w:hAnsi="Times New Roman"/>
          <w:sz w:val="24"/>
          <w:szCs w:val="28"/>
          <w:lang w:eastAsia="zh-CN"/>
        </w:rPr>
        <w:t>телекоммуникационной сети «Интернет».</w:t>
      </w:r>
    </w:p>
    <w:p w:rsidR="00E42C00" w:rsidRPr="00E42C00" w:rsidRDefault="00E42C00" w:rsidP="005A712A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42C00">
        <w:rPr>
          <w:rFonts w:ascii="Times New Roman" w:hAnsi="Times New Roman"/>
          <w:sz w:val="24"/>
          <w:szCs w:val="28"/>
        </w:rPr>
        <w:t>Контроль исполнения настоящего постановления</w:t>
      </w:r>
      <w:r w:rsidR="00493DD4">
        <w:rPr>
          <w:rFonts w:ascii="Times New Roman" w:hAnsi="Times New Roman"/>
          <w:sz w:val="24"/>
          <w:szCs w:val="28"/>
        </w:rPr>
        <w:t xml:space="preserve"> оставляю за собой</w:t>
      </w:r>
      <w:r w:rsidRPr="00E42C00">
        <w:rPr>
          <w:rFonts w:ascii="Times New Roman" w:hAnsi="Times New Roman"/>
          <w:sz w:val="24"/>
          <w:szCs w:val="28"/>
        </w:rPr>
        <w:t>.</w:t>
      </w:r>
    </w:p>
    <w:p w:rsidR="00E42C00" w:rsidRPr="00E007C0" w:rsidRDefault="00E42C00" w:rsidP="00E4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2C00" w:rsidRPr="00E007C0" w:rsidRDefault="00E42C00" w:rsidP="00E42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C00" w:rsidRPr="00E007C0" w:rsidRDefault="00E42C00" w:rsidP="00E42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C00" w:rsidRDefault="00E42C00" w:rsidP="00E42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Глав</w:t>
      </w:r>
      <w:r>
        <w:rPr>
          <w:rFonts w:ascii="Times New Roman" w:hAnsi="Times New Roman"/>
          <w:sz w:val="28"/>
          <w:szCs w:val="28"/>
        </w:rPr>
        <w:t>а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E42C00" w:rsidRDefault="00E42C00" w:rsidP="00E42C00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</w:rPr>
        <w:t>«город Десногорск»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Смоленской области                                 </w:t>
      </w:r>
      <w:r>
        <w:rPr>
          <w:rFonts w:ascii="Times New Roman" w:hAnsi="Times New Roman"/>
          <w:b/>
          <w:sz w:val="28"/>
        </w:rPr>
        <w:t>А.А. Терлецкий</w:t>
      </w:r>
    </w:p>
    <w:p w:rsidR="00C75CE8" w:rsidRDefault="00C75CE8"/>
    <w:p w:rsidR="002C7157" w:rsidRDefault="008310F8" w:rsidP="00612FB7">
      <w:pPr>
        <w:tabs>
          <w:tab w:val="left" w:pos="1276"/>
        </w:tabs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</w:t>
      </w:r>
      <w:r w:rsidR="00517F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</w:p>
    <w:p w:rsidR="00D10A50" w:rsidRPr="00D10A50" w:rsidRDefault="004A419F" w:rsidP="00612FB7">
      <w:pPr>
        <w:tabs>
          <w:tab w:val="left" w:pos="1276"/>
        </w:tabs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="00D10A50" w:rsidRPr="00D10A50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D10A50" w:rsidRPr="00D10A50" w:rsidRDefault="00612FB7" w:rsidP="00612FB7">
      <w:pPr>
        <w:tabs>
          <w:tab w:val="left" w:pos="1276"/>
        </w:tabs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</w:t>
      </w:r>
      <w:r w:rsidR="008310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  <w:r w:rsidR="004A41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D10A50" w:rsidRPr="00D10A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постановлением Администрации</w:t>
      </w:r>
    </w:p>
    <w:p w:rsidR="00D10A50" w:rsidRDefault="00612FB7" w:rsidP="00612FB7">
      <w:pPr>
        <w:tabs>
          <w:tab w:val="left" w:pos="1276"/>
          <w:tab w:val="left" w:pos="6807"/>
          <w:tab w:val="right" w:pos="10205"/>
        </w:tabs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="008310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="004A41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D10A50" w:rsidRPr="00D10A50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942DEE" w:rsidRPr="00D10A50" w:rsidRDefault="00942DEE" w:rsidP="00612FB7">
      <w:pPr>
        <w:tabs>
          <w:tab w:val="left" w:pos="1276"/>
          <w:tab w:val="left" w:pos="6807"/>
          <w:tab w:val="right" w:pos="10205"/>
        </w:tabs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</w:t>
      </w:r>
      <w:r w:rsidRPr="00942DEE">
        <w:rPr>
          <w:rFonts w:ascii="Times New Roman" w:eastAsia="Times New Roman" w:hAnsi="Times New Roman" w:cs="Times New Roman"/>
          <w:sz w:val="24"/>
          <w:szCs w:val="28"/>
          <w:lang w:eastAsia="ru-RU"/>
        </w:rPr>
        <w:t>«город Десногорск» Смоленской области</w:t>
      </w:r>
    </w:p>
    <w:p w:rsidR="00D10A50" w:rsidRPr="00D10A50" w:rsidRDefault="008310F8" w:rsidP="008310F8">
      <w:pPr>
        <w:tabs>
          <w:tab w:val="left" w:pos="1276"/>
          <w:tab w:val="left" w:pos="6755"/>
          <w:tab w:val="right" w:pos="10205"/>
        </w:tabs>
        <w:spacing w:after="0" w:line="240" w:lineRule="auto"/>
        <w:ind w:left="1065"/>
        <w:jc w:val="center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</w:t>
      </w:r>
      <w:r w:rsidR="00E169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1841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</w:t>
      </w:r>
      <w:r w:rsidR="00D10A50" w:rsidRPr="00D10A5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</w:t>
      </w:r>
      <w:r w:rsidR="001841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DA098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22.10.2025 </w:t>
      </w:r>
      <w:r w:rsidR="00D10A50" w:rsidRPr="00D10A5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№</w:t>
      </w:r>
      <w:r w:rsidR="00DA09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DA098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1151</w:t>
      </w:r>
    </w:p>
    <w:p w:rsidR="00D10A50" w:rsidRDefault="00D10A50" w:rsidP="00D10A50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Calibri"/>
          <w:lang w:eastAsia="ru-RU"/>
        </w:rPr>
      </w:pPr>
    </w:p>
    <w:p w:rsidR="008310F8" w:rsidRPr="00D10A50" w:rsidRDefault="008310F8" w:rsidP="003A77C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eastAsia="ru-RU"/>
        </w:rPr>
      </w:pPr>
    </w:p>
    <w:p w:rsidR="00721587" w:rsidRPr="00721587" w:rsidRDefault="00721587" w:rsidP="00721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E42C00" w:rsidRPr="003A77CB" w:rsidRDefault="00721587" w:rsidP="00721587">
      <w:pPr>
        <w:jc w:val="center"/>
        <w:rPr>
          <w:sz w:val="24"/>
          <w:szCs w:val="24"/>
        </w:rPr>
      </w:pPr>
      <w:r w:rsidRPr="003A7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</w:t>
      </w:r>
      <w:r w:rsidR="00834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реинжиниринга процессов в А</w:t>
      </w:r>
      <w:r w:rsidRPr="003A7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дминистрации муниципального образования «город Десногорск» Смоленской области</w:t>
      </w:r>
      <w:r w:rsidR="0023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ее структурных</w:t>
      </w:r>
      <w:r w:rsidR="00A00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подразделений</w:t>
      </w:r>
    </w:p>
    <w:p w:rsidR="00721587" w:rsidRPr="00721587" w:rsidRDefault="00721587" w:rsidP="0040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proofErr w:type="gramStart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B1432E" w:rsidRPr="00B1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реинжиниринга процессов в Администрации муниципального образования «город Десногорск» Смоленской области</w:t>
      </w:r>
      <w:r w:rsidR="0018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структурных подразделениях</w:t>
      </w:r>
      <w:r w:rsidR="00B1432E" w:rsidRPr="00B1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Порядок) 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проведение реинжиниринга процессов и представляет собой описание этапов исследований и при необходимости изменений (перепроектирования) процессов, составляющих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0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Десногорск» Смоленской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</w:t>
      </w:r>
      <w:r w:rsidR="008041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r w:rsidR="0018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подразделениях</w:t>
      </w:r>
      <w:r w:rsidR="00B1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Администрация), в том числе, в части предоставления муниципальных услуг, оказания муниципальных мер</w:t>
      </w:r>
      <w:proofErr w:type="gramEnd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поддержки, осуществления муниципального контроля (надзора), работы с обращениями граждан и организаций, запросами, предоставления информации о деятельности Администрации, взаимодействия с внутренним клиентом (далее соответственно – реинжиниринг процессов, процессы, клиенты). </w:t>
      </w:r>
      <w:proofErr w:type="gramEnd"/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перечень указанных процессов, содержится в Реестре межведомственных и внутриведомственных процессов, утвержденном постановлением Администрации.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721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проведения реинжиниринга процессов является совершенствование деятельн</w:t>
      </w:r>
      <w:r w:rsidR="00F43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Администрации, в том числе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взаимодействии с 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гражданами, а также субъектами предпринимательской и иной экономической деятельности.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721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Реинжиниринг процессов состоит из следующих этапов: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исследование;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проектирование;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реализация. 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</w:t>
      </w:r>
      <w:proofErr w:type="gramStart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реинжинирингу процессов осуществляются структурным подразделением, в состав которого входит ответственное лицо, указанное в Реестре процессов, утвержденном постановлением </w:t>
      </w:r>
      <w:r w:rsidR="00764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если поручением Г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764D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Десногорск» Смоленской области или заместителя Г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r w:rsidR="0076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D72" w:rsidRPr="00764D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Десногорск» Смоленской области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ответственного за внедрение </w:t>
      </w:r>
      <w:proofErr w:type="spellStart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Администрации, не указано иного (далее соответственно – ответственный за процесс, ответственный </w:t>
      </w:r>
      <w:bookmarkStart w:id="2" w:name="_Hlk209165405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bookmarkEnd w:id="2"/>
      <w:proofErr w:type="spellEnd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Основаниями для проведения реинжиниринга процесса могут быть: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поручение </w:t>
      </w:r>
      <w:r w:rsidR="0076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764D72" w:rsidRPr="0076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Смоленской области </w:t>
      </w:r>
      <w:r w:rsidR="00B0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ответственного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587" w:rsidRPr="00721587" w:rsidRDefault="00721587" w:rsidP="00721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2) устойчивое снижение в течение более трех месяцев подряд уровня удовлетворенности клиентов процессом, например, предоставления муниципальной услуги, оказания муниципальных мер поддержки или осуществления контрольно-надзорной деятельности Администрацией</w:t>
      </w:r>
      <w:r w:rsidR="00B0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которых осуществляется процесс;</w:t>
      </w:r>
    </w:p>
    <w:p w:rsidR="00E42C00" w:rsidRDefault="00721587" w:rsidP="00405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87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наступление срока для пересмотра процесса.</w:t>
      </w:r>
    </w:p>
    <w:p w:rsidR="00E07664" w:rsidRPr="00405139" w:rsidRDefault="00E07664" w:rsidP="00405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C06" w:rsidRDefault="00D23C06" w:rsidP="00B23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ABA" w:rsidRDefault="008F7448" w:rsidP="00E0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="00B36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="00B36ABA" w:rsidRPr="00B36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сбора и анализа обратной связи</w:t>
      </w:r>
      <w:r w:rsidR="00B36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C265C" w:rsidRDefault="008F7448" w:rsidP="00B3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исследований</w:t>
      </w:r>
      <w:r w:rsidR="00E07664" w:rsidRPr="00E07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реинжиниринга процессов</w:t>
      </w:r>
      <w:r w:rsidR="00CA0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C265C" w:rsidRPr="00B36ABA" w:rsidRDefault="007C265C" w:rsidP="007C265C">
      <w:pPr>
        <w:pStyle w:val="a5"/>
        <w:widowControl w:val="0"/>
        <w:numPr>
          <w:ilvl w:val="1"/>
          <w:numId w:val="3"/>
        </w:numPr>
        <w:tabs>
          <w:tab w:val="left" w:pos="1361"/>
        </w:tabs>
        <w:autoSpaceDE w:val="0"/>
        <w:autoSpaceDN w:val="0"/>
        <w:spacing w:before="55" w:after="0" w:line="240" w:lineRule="auto"/>
        <w:ind w:right="139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ABA">
        <w:rPr>
          <w:rFonts w:ascii="Times New Roman" w:eastAsia="Times New Roman" w:hAnsi="Times New Roman" w:cs="Times New Roman"/>
          <w:sz w:val="24"/>
          <w:szCs w:val="24"/>
        </w:rPr>
        <w:t>Система сбора и анализа обратной связи (далее — система обратной связи) является инструментом, направленным на оценку качества взаимодействия клиентов с органом власти через сбор, агрегацию и анализ субъективных данных, полученных от внешних и внутренних клиентов.</w:t>
      </w:r>
    </w:p>
    <w:p w:rsidR="007C265C" w:rsidRPr="00B36ABA" w:rsidRDefault="007C265C" w:rsidP="00C052DE">
      <w:pPr>
        <w:pStyle w:val="a5"/>
        <w:widowControl w:val="0"/>
        <w:numPr>
          <w:ilvl w:val="2"/>
          <w:numId w:val="4"/>
        </w:numPr>
        <w:tabs>
          <w:tab w:val="left" w:pos="1435"/>
        </w:tabs>
        <w:autoSpaceDE w:val="0"/>
        <w:autoSpaceDN w:val="0"/>
        <w:spacing w:before="59" w:after="0" w:line="240" w:lineRule="auto"/>
        <w:ind w:left="142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>Система обратной связи служит для выявления отношения клиентов к деятельности органа власти в разрезе следующих направлений деятельности, процессов (групп процессов), осуществляемых в органе власти (далее – объекты сбора и анализа обратной связи):</w:t>
      </w:r>
    </w:p>
    <w:p w:rsidR="007C265C" w:rsidRPr="007C265C" w:rsidRDefault="001D413F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before="62" w:after="0" w:line="3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7C265C"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редоставление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муниципальных (</w:t>
      </w:r>
      <w:r w:rsidR="007C265C"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государственных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) </w:t>
      </w:r>
      <w:r w:rsidR="007C265C"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услуг</w:t>
      </w:r>
      <w:r w:rsidR="007C265C" w:rsidRPr="007C265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C265C"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(сервисов),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7C265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функций,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предоставление</w:t>
      </w:r>
      <w:r w:rsidRPr="007C265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мер</w:t>
      </w:r>
      <w:r w:rsidR="001D41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муниципальной</w:t>
      </w:r>
      <w:r w:rsidRPr="007C265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D413F">
        <w:rPr>
          <w:rFonts w:ascii="Times New Roman" w:eastAsia="Times New Roman" w:hAnsi="Times New Roman" w:cs="Times New Roman"/>
          <w:spacing w:val="6"/>
          <w:sz w:val="24"/>
          <w:szCs w:val="24"/>
        </w:rPr>
        <w:t>(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государственной</w:t>
      </w:r>
      <w:r w:rsidR="001D413F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7C265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поддержки,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before="1" w:after="0" w:line="3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осуществление</w:t>
      </w:r>
      <w:r w:rsidRPr="007C265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D413F">
        <w:rPr>
          <w:rFonts w:ascii="Times New Roman" w:eastAsia="Times New Roman" w:hAnsi="Times New Roman" w:cs="Times New Roman"/>
          <w:spacing w:val="5"/>
          <w:sz w:val="24"/>
          <w:szCs w:val="24"/>
        </w:rPr>
        <w:t>муниципального (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государственного</w:t>
      </w:r>
      <w:r w:rsidR="001D413F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7C265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контроля</w:t>
      </w:r>
      <w:r w:rsidRPr="007C265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(надзора),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7C265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7C265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Pr="007C265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требований,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Pr="007C265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обращений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265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запросов,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7C26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C265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7C265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деятельности,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организация отношений с внутренним клиентом через выявление отношения внутренних клиентов (сотрудников) к процессам (группам процессов) органа власти,</w:t>
      </w:r>
      <w:r w:rsidRPr="007C26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 w:rsidRPr="007C26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26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осуществлением</w:t>
      </w:r>
      <w:r w:rsidRPr="007C26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7C26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C26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7C26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C265C" w:rsidRPr="007C265C" w:rsidRDefault="007C265C" w:rsidP="003D6A48">
      <w:pPr>
        <w:widowControl w:val="0"/>
        <w:tabs>
          <w:tab w:val="left" w:pos="1377"/>
        </w:tabs>
        <w:autoSpaceDE w:val="0"/>
        <w:autoSpaceDN w:val="0"/>
        <w:spacing w:before="59" w:after="0" w:line="240" w:lineRule="auto"/>
        <w:ind w:left="142"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Система обратной связи может быть как внешней – служащей для сбора обратной связи от клиентов, так и внутренней – служащей для сбора обратной связи от внутренних клиентов.</w:t>
      </w:r>
    </w:p>
    <w:p w:rsidR="007C265C" w:rsidRPr="007C265C" w:rsidRDefault="007C265C" w:rsidP="007C265C">
      <w:pPr>
        <w:widowControl w:val="0"/>
        <w:tabs>
          <w:tab w:val="left" w:pos="1301"/>
        </w:tabs>
        <w:autoSpaceDE w:val="0"/>
        <w:autoSpaceDN w:val="0"/>
        <w:spacing w:before="59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>2.1.3.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7C265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7C265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следующее: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before="62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 xml:space="preserve">получение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 (далее —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удовлетворенность);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0"/>
        </w:tabs>
        <w:autoSpaceDE w:val="0"/>
        <w:autoSpaceDN w:val="0"/>
        <w:spacing w:after="0" w:line="316" w:lineRule="exact"/>
        <w:ind w:left="12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7C265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265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7C265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C265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C265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C265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7C265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качества</w:t>
      </w:r>
    </w:p>
    <w:p w:rsidR="007C265C" w:rsidRPr="007C265C" w:rsidRDefault="007C265C" w:rsidP="007C265C">
      <w:pPr>
        <w:widowControl w:val="0"/>
        <w:autoSpaceDE w:val="0"/>
        <w:autoSpaceDN w:val="0"/>
        <w:spacing w:after="0" w:line="299" w:lineRule="exact"/>
        <w:ind w:left="1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существующих</w:t>
      </w:r>
      <w:r w:rsidRPr="007C265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265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7C265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7C265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24C0E">
        <w:rPr>
          <w:rFonts w:ascii="Times New Roman" w:eastAsia="Times New Roman" w:hAnsi="Times New Roman" w:cs="Times New Roman"/>
          <w:spacing w:val="-11"/>
          <w:sz w:val="24"/>
          <w:szCs w:val="24"/>
        </w:rPr>
        <w:t>муниципальных (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F24C0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C265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услуг;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1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7C265C">
        <w:rPr>
          <w:rFonts w:ascii="Times New Roman" w:eastAsia="Times New Roman" w:hAnsi="Times New Roman" w:cs="Times New Roman"/>
          <w:sz w:val="24"/>
          <w:szCs w:val="24"/>
        </w:rPr>
        <w:t>направлений развития отдельных аспектов деятельности органа</w:t>
      </w:r>
      <w:proofErr w:type="gramEnd"/>
      <w:r w:rsidRPr="007C265C">
        <w:rPr>
          <w:rFonts w:ascii="Times New Roman" w:eastAsia="Times New Roman" w:hAnsi="Times New Roman" w:cs="Times New Roman"/>
          <w:sz w:val="24"/>
          <w:szCs w:val="24"/>
        </w:rPr>
        <w:t xml:space="preserve"> власти, а также удачных решений в деятельности органа власти с целью тиражирования лучших практик на другие аспекты деятельности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0"/>
        </w:tabs>
        <w:autoSpaceDE w:val="0"/>
        <w:autoSpaceDN w:val="0"/>
        <w:spacing w:after="0" w:line="318" w:lineRule="exact"/>
        <w:ind w:left="12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7C265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7C265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7C265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7C265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власти;</w:t>
      </w:r>
    </w:p>
    <w:p w:rsidR="007C265C" w:rsidRPr="007C265C" w:rsidRDefault="007C265C" w:rsidP="007C265C">
      <w:pPr>
        <w:widowControl w:val="0"/>
        <w:numPr>
          <w:ilvl w:val="2"/>
          <w:numId w:val="3"/>
        </w:numPr>
        <w:tabs>
          <w:tab w:val="left" w:pos="1220"/>
        </w:tabs>
        <w:autoSpaceDE w:val="0"/>
        <w:autoSpaceDN w:val="0"/>
        <w:spacing w:after="0" w:line="318" w:lineRule="exact"/>
        <w:ind w:left="12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65C">
        <w:rPr>
          <w:rFonts w:ascii="Times New Roman" w:eastAsia="Times New Roman" w:hAnsi="Times New Roman" w:cs="Times New Roman"/>
          <w:sz w:val="24"/>
          <w:szCs w:val="24"/>
        </w:rPr>
        <w:t>оперативное</w:t>
      </w:r>
      <w:r w:rsidRPr="007C265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реагирование</w:t>
      </w:r>
      <w:r w:rsidRPr="007C265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265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7C26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265C">
        <w:rPr>
          <w:rFonts w:ascii="Times New Roman" w:eastAsia="Times New Roman" w:hAnsi="Times New Roman" w:cs="Times New Roman"/>
          <w:spacing w:val="-2"/>
          <w:sz w:val="24"/>
          <w:szCs w:val="24"/>
        </w:rPr>
        <w:t>клиентов.</w:t>
      </w:r>
    </w:p>
    <w:p w:rsidR="007C265C" w:rsidRPr="00B36ABA" w:rsidRDefault="007C265C" w:rsidP="003D6A48">
      <w:pPr>
        <w:pStyle w:val="a5"/>
        <w:widowControl w:val="0"/>
        <w:numPr>
          <w:ilvl w:val="2"/>
          <w:numId w:val="5"/>
        </w:numPr>
        <w:tabs>
          <w:tab w:val="left" w:pos="1388"/>
        </w:tabs>
        <w:autoSpaceDE w:val="0"/>
        <w:autoSpaceDN w:val="0"/>
        <w:spacing w:before="59" w:after="0" w:line="240" w:lineRule="auto"/>
        <w:ind w:left="142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>Источниками обратной связи являются данные информационных систем, интегрирующих информацию от клиентов о качестве услуг и сервисов (Платформа обратной связи, Единый портал государственных услуг, ведомственные и региональные системы и другие), обращения и жалобы, поступающие в ведомства напрямую, а также данные социологических исследований.</w:t>
      </w:r>
    </w:p>
    <w:p w:rsidR="007C265C" w:rsidRPr="00B36ABA" w:rsidRDefault="007C265C" w:rsidP="003D6A48">
      <w:pPr>
        <w:pStyle w:val="a5"/>
        <w:widowControl w:val="0"/>
        <w:numPr>
          <w:ilvl w:val="2"/>
          <w:numId w:val="5"/>
        </w:numPr>
        <w:tabs>
          <w:tab w:val="left" w:pos="1364"/>
        </w:tabs>
        <w:autoSpaceDE w:val="0"/>
        <w:autoSpaceDN w:val="0"/>
        <w:spacing w:before="59" w:after="0" w:line="240" w:lineRule="auto"/>
        <w:ind w:left="142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>Социологические исследования осуществляются путем проведения офлайн и онлайн опросов, глубинных интервью, экспертных оценок, контент-анализа средств массовой информации и социальных сетей, качественного анализа обращений граждан и пр.</w:t>
      </w:r>
    </w:p>
    <w:p w:rsidR="00EA600C" w:rsidRPr="00EA600C" w:rsidRDefault="007C265C" w:rsidP="003D6A48">
      <w:pPr>
        <w:pStyle w:val="a5"/>
        <w:widowControl w:val="0"/>
        <w:numPr>
          <w:ilvl w:val="2"/>
          <w:numId w:val="5"/>
        </w:numPr>
        <w:tabs>
          <w:tab w:val="left" w:pos="1364"/>
        </w:tabs>
        <w:autoSpaceDE w:val="0"/>
        <w:autoSpaceDN w:val="0"/>
        <w:spacing w:before="59" w:after="0" w:line="240" w:lineRule="auto"/>
        <w:ind w:left="142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 xml:space="preserve">Сбор обратной связи должен осуществляться во всех каналах связи, в которых происходит взаимодействие с клиентом. Такие каналы можно разделить на </w:t>
      </w:r>
      <w:r w:rsidRPr="00B36A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онлайн-каналы (мобильное приложение, официальный сайт, социальная сеть, </w:t>
      </w:r>
      <w:proofErr w:type="spellStart"/>
      <w:r w:rsidRPr="00B36ABA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Pr="00B36ABA">
        <w:rPr>
          <w:rFonts w:ascii="Times New Roman" w:eastAsia="Times New Roman" w:hAnsi="Times New Roman" w:cs="Times New Roman"/>
          <w:sz w:val="24"/>
          <w:szCs w:val="24"/>
        </w:rPr>
        <w:t>, консультационная линия) и офлайн-каналы (личный прием в органе власти, в МФЦ, в местах длительного пребывания клиентов, направление бумажных писем и т.д.).</w:t>
      </w:r>
    </w:p>
    <w:p w:rsidR="00EA600C" w:rsidRPr="00B36ABA" w:rsidRDefault="00EA600C" w:rsidP="003D6A48">
      <w:pPr>
        <w:pStyle w:val="a5"/>
        <w:widowControl w:val="0"/>
        <w:numPr>
          <w:ilvl w:val="2"/>
          <w:numId w:val="5"/>
        </w:numPr>
        <w:tabs>
          <w:tab w:val="left" w:pos="1360"/>
        </w:tabs>
        <w:autoSpaceDE w:val="0"/>
        <w:autoSpaceDN w:val="0"/>
        <w:spacing w:before="61"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BA">
        <w:rPr>
          <w:rFonts w:ascii="Times New Roman" w:eastAsia="Times New Roman" w:hAnsi="Times New Roman" w:cs="Times New Roman"/>
          <w:sz w:val="24"/>
          <w:szCs w:val="24"/>
        </w:rPr>
        <w:t>Должна быть обеспечена возможность постоянного сбора обратной связи в местах получения услуги и регулярно проводиться ее анализ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6ABA">
        <w:rPr>
          <w:rFonts w:ascii="Times New Roman" w:eastAsia="Times New Roman" w:hAnsi="Times New Roman" w:cs="Times New Roman"/>
          <w:sz w:val="24"/>
          <w:szCs w:val="24"/>
        </w:rPr>
        <w:t>Разовые сборы обратной связи могут дополнять постоянный сбор обратной связи в случае необходимости.</w:t>
      </w:r>
    </w:p>
    <w:p w:rsidR="00EA600C" w:rsidRDefault="005F08D5" w:rsidP="00383121">
      <w:pPr>
        <w:widowControl w:val="0"/>
        <w:tabs>
          <w:tab w:val="left" w:pos="1364"/>
        </w:tabs>
        <w:autoSpaceDE w:val="0"/>
        <w:autoSpaceDN w:val="0"/>
        <w:spacing w:before="59" w:after="0" w:line="240" w:lineRule="auto"/>
        <w:ind w:left="142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8D5">
        <w:rPr>
          <w:rFonts w:ascii="Times New Roman" w:eastAsia="Times New Roman" w:hAnsi="Times New Roman" w:cs="Times New Roman"/>
          <w:sz w:val="24"/>
          <w:szCs w:val="24"/>
        </w:rPr>
        <w:t>2.1.8.</w:t>
      </w:r>
      <w:r w:rsidRPr="005F08D5">
        <w:rPr>
          <w:rFonts w:ascii="Times New Roman" w:eastAsia="Times New Roman" w:hAnsi="Times New Roman" w:cs="Times New Roman"/>
          <w:sz w:val="24"/>
          <w:szCs w:val="24"/>
        </w:rPr>
        <w:tab/>
        <w:t>Данные, полученные в результате сбора обратной связи, должны быть сравнимыми. Для того</w:t>
      </w:r>
      <w:proofErr w:type="gramStart"/>
      <w:r w:rsidRPr="005F08D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F08D5">
        <w:rPr>
          <w:rFonts w:ascii="Times New Roman" w:eastAsia="Times New Roman" w:hAnsi="Times New Roman" w:cs="Times New Roman"/>
          <w:sz w:val="24"/>
          <w:szCs w:val="24"/>
        </w:rPr>
        <w:t xml:space="preserve"> чтобы обеспечить сравнимость таких данных, необходимо, чтобы методы, инструментарий, каналы сбора обратной связи были сопоставимы. (Например, для одной и той же группы респондентов должны использоваться сопоставимые виды сбора обратной связи (количественные или качественные), шкалы, метрики).</w:t>
      </w:r>
    </w:p>
    <w:p w:rsidR="005F08D5" w:rsidRPr="008F7448" w:rsidRDefault="005F08D5" w:rsidP="005F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после возникновения оснований для проведения реинжиниринга процесса ответственный за процесс формирует либо (в случае, если он был сформирован ранее) актуализирует ранее сформированный перечень точек взаимодействия с клиентом в рамках исследуемого процесса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Методическими рекомендациями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формированию перечня точек взаимодействия с клиентом и разработке порядка по взаимодействию с клиентом в точках взаимодействия, одобренными протоколом</w:t>
      </w:r>
      <w:proofErr w:type="gram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межведомственной рабочей группы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внедрению 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государственное управление от 6 июля 2023 г. № 66-АХ, а также формирует в отношении исследуемого процесса либо актуализирует ранее сформированный профиль клиентского сегмента на основании имеющихся данных о клиентах процесса за два года, предшествующих дню начала исследования. </w:t>
      </w:r>
    </w:p>
    <w:p w:rsidR="005F08D5" w:rsidRDefault="005F08D5" w:rsidP="005F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течение 2 лет, предшествующих проведению исследования, процесс не осуществлялся, то профиль клиентского сегмента формируется на основании гипотез о потенциальном клиенте, в интересах которого осуществляется процесс.</w:t>
      </w:r>
    </w:p>
    <w:p w:rsidR="005F08D5" w:rsidRDefault="005F08D5" w:rsidP="005F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 клиентского сегмента готовится в формате </w:t>
      </w:r>
      <w:r w:rsidRPr="00CE1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CE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содержит сведения об основных признаках для проведения сегментации, особенностях клиентского пути и предпочтительных каналах взаимодействия с клиентами. </w:t>
      </w:r>
    </w:p>
    <w:p w:rsidR="005F08D5" w:rsidRPr="008F7448" w:rsidRDefault="005F08D5" w:rsidP="005F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процесс в течение 5 рабочих дней после возникновения оснований для проведения реинжиниринга процесса формирует текстовое описание и 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ок-схему осуществления процесса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текущий момент согласно регламентирующим документам и актам Администрации, а также текстовое описание и блок-схему фактического осуществления процесса с указанием их различий. </w:t>
      </w:r>
      <w:proofErr w:type="gramEnd"/>
    </w:p>
    <w:p w:rsidR="005F08D5" w:rsidRDefault="005F08D5" w:rsidP="005F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 формированию описания и блок-схемы фактического осуществления проц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есса могут привлекаться клиенты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исполнители по процессу. </w:t>
      </w:r>
    </w:p>
    <w:p w:rsidR="005F08D5" w:rsidRDefault="005F08D5" w:rsidP="005F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D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в нотации BPMN 2.0. </w:t>
      </w:r>
    </w:p>
    <w:p w:rsidR="005F08D5" w:rsidRDefault="005F08D5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Блок-схемы в нотации BPMN 2.0</w:t>
      </w:r>
      <w:r w:rsidRPr="005A4032">
        <w:t xml:space="preserve"> </w:t>
      </w:r>
      <w:r w:rsidRPr="005A40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 демонстрируют подробную последовательность действий со сложными развилками и параллельными рядами событий, а также потоки ресурсов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10 рабочих дней после формирования профиля клиентского сегмента проводится опрос клиентов и исполнителей об их опыте участия в процессе.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должен быть направлен </w:t>
      </w: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удовлетворенности процессом;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сложностей,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столкнулись клиенты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осуществления процесса, с указанием этапа,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котором эти сложности были встречены и их критичности;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ожиданий клиентов от взаимодействия на каждом этапе осуществления процесса;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лучших практик осуществления процессов.</w:t>
      </w:r>
    </w:p>
    <w:p w:rsidR="001A36BB" w:rsidRPr="008F7448" w:rsidRDefault="001A36BB" w:rsidP="00383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основании информации, полученной в результате опроса,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течение 2 рабочих дней формируется перечень сложностей, выявленных клиентами на каждом этапе осуществления процесса, с указанием их критичности, потребностей клиентов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каждом этапе взаимодействия,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формируется перечень лучших практик в рамках осуществления процесса. </w:t>
      </w:r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12 рабочих дней после формирования профиля клиентского сегмента ответственный за процесс проводит анализ процесса   на соответствие требованиям Станд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артов «Государство для людей»,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протоколом заочного голосования членов проектного комитета федерального проекта «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Клиентоцентричность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18 апреля 2022 г. № 1, Стандарта для внутреннего клиента, одобренного протоколом заседания межведомственной рабочей группы по внедрению 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государственное управление от 15 декабря 2023 г</w:t>
      </w:r>
      <w:proofErr w:type="gram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142-АХ (далее – Стандарты 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формирует перечень требований Стандартов 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соблюдаются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процессе. </w:t>
      </w:r>
    </w:p>
    <w:p w:rsidR="001A36BB" w:rsidRPr="000141C7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после завершения опроса и анализа процесса на соответствие требованиям Стандартов 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процесс рассматривает сформированные в ходе исследования документы </w:t>
      </w:r>
      <w:r w:rsidRPr="00AC7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рабочей группой по внедрению </w:t>
      </w:r>
      <w:proofErr w:type="spellStart"/>
      <w:r w:rsidRPr="00AC71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AC7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AC7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сформированной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Pr="00AC7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рабочая группа).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A36BB" w:rsidRPr="000141C7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в течение 7 рабочих дней рассматривает 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01BE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в соответствии пунктом 2.2.5</w:t>
      </w: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документы и на заседании принимает одно из следующих решений: </w:t>
      </w:r>
    </w:p>
    <w:p w:rsidR="001A36BB" w:rsidRPr="000141C7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необходимость изменения процесса;</w:t>
      </w:r>
    </w:p>
    <w:p w:rsidR="001A36BB" w:rsidRPr="000141C7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отсутствие необходимости изменения процесса;</w:t>
      </w:r>
    </w:p>
    <w:p w:rsidR="001A36BB" w:rsidRPr="000141C7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необходимость исключения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Реестра процессов</w:t>
      </w: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рабочей группы в течение 1 рабочего дня после его принятия направляется </w:t>
      </w:r>
      <w:proofErr w:type="gramStart"/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r w:rsidRPr="0001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было принято решение о необходимости исключения процесса, решение также направляется руководителю соответствующего структурного подразделения.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Заключение подписывается руководителем структурного подразделения, в состав которого входит ответственное за процесс лицо и вместе с документами передается </w:t>
      </w: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 течение 3 рабочих дней прини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мает одно из решений, указанных </w:t>
      </w:r>
      <w:r w:rsidR="00ED4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подпунктах 1 – 3 пункта 2.2.5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раздела,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его до ответственного за процесс.</w:t>
      </w:r>
    </w:p>
    <w:p w:rsidR="001A36BB" w:rsidRPr="008F7448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принятия решения, ука</w:t>
      </w:r>
      <w:r w:rsidR="00ED4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занного в подпункте 1 пункта 2.2.5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раздела, ответственным за процесс выполняются действия, предусмотренные пунктом 3.1. настоящего Порядка.</w:t>
      </w:r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указанного в подпун</w:t>
      </w:r>
      <w:r w:rsidR="00ED4F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 2 или подпункте 3 пункта 2.2.5</w:t>
      </w:r>
      <w:r w:rsidRPr="008F7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раздела, проведение реинжиниринга процесса завершается, при этом, в случае принятия решения о необходимости исключения процесса из Реестра межведомственных и внутриведомственных процессов, ответственным за процесс выполняются соответствующие действия, предусмотренные Порядком формирования и ведения реестра межведомственных и внутриведомственных процессов, утвержденным постановлением Администрации.</w:t>
      </w:r>
      <w:proofErr w:type="gramEnd"/>
    </w:p>
    <w:p w:rsidR="005F08D5" w:rsidRDefault="005F08D5" w:rsidP="005F08D5">
      <w:pPr>
        <w:widowControl w:val="0"/>
        <w:tabs>
          <w:tab w:val="left" w:pos="1364"/>
        </w:tabs>
        <w:autoSpaceDE w:val="0"/>
        <w:autoSpaceDN w:val="0"/>
        <w:spacing w:before="59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6BB" w:rsidRPr="00194A0E" w:rsidRDefault="001A36BB" w:rsidP="001A3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Этап проектирования в целях реинжиниринга процессов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proofErr w:type="gram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указанного в подпункте 1 пункта 2.</w:t>
      </w:r>
      <w:r w:rsidR="00ED4F24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Порядка, ответственный за процесс в течение 7 рабочих дней разрабатывает:</w:t>
      </w:r>
      <w:proofErr w:type="gramEnd"/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1) текстовое описание целевого порядка осуществления процесса (целевую модель процесса) с учетом целесообразности, наличия возможностей, стремления к решению наибольшего количества выявленных проблем и повышения эффе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ктивности процесса, в том числе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наиболее эффективных решений, реализованных в других процессах;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блок-схему целевого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процесса в нотации BPMN 2.0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описание нормативных правовых барьеров, препятствующих реализации целевого порядка осуществления процесса, представляющие собой перечень положений нормативных правовых актов, которые прямо противоречат целевому порядку осуществления процесса, а 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перечень нормативных правовых актов, отсутствие в которых необходимых положений не позволяет реализовать целевой порядок осуществления процесса; </w:t>
      </w:r>
      <w:proofErr w:type="gramEnd"/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взаимодействия с клиентом в точках взаимодействия.</w:t>
      </w:r>
    </w:p>
    <w:p w:rsidR="001A36BB" w:rsidRPr="00D2303B" w:rsidRDefault="001A36BB" w:rsidP="001A3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</w:t>
      </w:r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формирования указанных документов </w:t>
      </w:r>
      <w:proofErr w:type="gramStart"/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их по системе электронного документооборота на рассмотрение рабочей группой. </w:t>
      </w:r>
    </w:p>
    <w:p w:rsidR="001A36BB" w:rsidRPr="00D2303B" w:rsidRDefault="001A36BB" w:rsidP="001A3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Рабочая группа в течение 7 рабочих дней рассматривает документы, указанные в пункте 3.1 настоящего Порядка, и принимает одно из решений:</w:t>
      </w:r>
    </w:p>
    <w:p w:rsidR="001A36BB" w:rsidRPr="00D2303B" w:rsidRDefault="001A36BB" w:rsidP="001A3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согласование целевого порядка осуществления процесса;</w:t>
      </w:r>
    </w:p>
    <w:p w:rsidR="001A36BB" w:rsidRPr="00D2303B" w:rsidRDefault="001A36BB" w:rsidP="001A3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направление целевого порядка осуществления процесса на доработку. </w:t>
      </w:r>
    </w:p>
    <w:p w:rsidR="001A36BB" w:rsidRPr="00194A0E" w:rsidRDefault="001A36BB" w:rsidP="001A3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заседании рабочей группы, на котором рассматривается целевой порядок осуществления процесса, по решению председателя рабочей группы могут быть привлечены представители общественности, эксперты и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2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участвующие в осуществлении процесса. 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Заключение подписывается руководителем структурного подразделения, в состав которого входит ответственное за процесс лицо и вместе с документами передается </w:t>
      </w:r>
      <w:proofErr w:type="gram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 течение 3 рабочих дней принимает одно из решений, указанных в подпунктах 1, 2 пункта 3.2 настоящего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 доводит 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 ответственного за процесс.</w:t>
      </w:r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решения, указанного в подпункте 2 пункта 3.2 настоящего раздела, ответственный за процесс обеспечивает доработку целевого порядка осуществления процесса и описания нормативно-правовых барьеров </w:t>
      </w:r>
      <w:r w:rsidRPr="003150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обозначенный в решении рабочей группы срок и повторно направляет их на согласование рабочей группе.</w:t>
      </w:r>
      <w:proofErr w:type="gramEnd"/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рабочая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приняла решение, указанного в подпункте 1</w:t>
      </w:r>
      <w:r w:rsidRPr="001B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3.2 настоящего раздела,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0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процесс в течение 7 рабочих дней после согласования формирует план мероприятий по реализации целевого порядка осуществления процесса (далее – план мероприятий) согласно шаблону,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представленному в Приложении</w:t>
      </w:r>
      <w:r w:rsidRPr="0031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Порядку, с указанием названия мероприятия, сроков их выполнения, ответственных и описания результатов и отчетных документов. </w:t>
      </w:r>
      <w:proofErr w:type="gramEnd"/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мероприятий могут входить мероприятия по внесению изменений нормативных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актов, мероприятия, связанные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изменением инфраструктуры или программного обеспечения (информационных систем), а также организационные мероприятия. 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целевой порядок осуществления процесса предполагает использование ранее созданных, измененных по итогам реинжиниринга или сформированных в результате реинжиниринга цифровых сервисов, и создание таких сервисов находится в компетенции Администрации, то план мероприятий должен содержать следующие мероприятия: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разработка </w:t>
      </w:r>
      <w:proofErr w:type="spell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верхнеуровневого</w:t>
      </w:r>
      <w:proofErr w:type="spellEnd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прототипа сервиса в виде схематичного изображения экранов цифрового сервиса с указанием логики перехода между ними;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тестирование </w:t>
      </w:r>
      <w:proofErr w:type="spell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хнеуровневого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прототипа сервиса 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представителях клиентского сегмента;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доработка </w:t>
      </w:r>
      <w:proofErr w:type="spell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верхнеуровневого</w:t>
      </w:r>
      <w:proofErr w:type="spellEnd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прототипа на основании полученной обратной связи по результатам тестирования </w:t>
      </w:r>
      <w:proofErr w:type="spell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верхнеуровнего</w:t>
      </w:r>
      <w:proofErr w:type="spellEnd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прототипа сервиса (при необходимости);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4) разработка детализированного прототипа сервиса в формате интерактивных экранов без подключения к базам данных;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5) тестирование детализирован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прототипа сервиса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представителях клиентского сегмента;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доработка детализированного прототипа на основании полученной обратной связи по результатам тестирования детализированного прототипа сервиса (при необходимости). 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Ответственный за процесс направляет разработанный план мероприятий по системе электронного документооборота на рассмотрение </w:t>
      </w:r>
      <w:r w:rsidRPr="00A77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рабочей группе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r w:rsidRPr="00663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на очередном заседании рассматривает представленный разработанный план мероприятий и принимает одно из следующих решений: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об утверждении плана мероприятий;</w:t>
      </w:r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 направлении плана мероприятий на доработку.</w:t>
      </w:r>
    </w:p>
    <w:p w:rsidR="001A36BB" w:rsidRPr="00194A0E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подписывается руководителем структурного подразделения, в состав которого входит ответственное за процесс лицо и  вместе с планом меропр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передается ответственному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</w:t>
      </w:r>
      <w:proofErr w:type="spellStart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клиентоцентричности</w:t>
      </w:r>
      <w:proofErr w:type="spellEnd"/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 течение 3 рабочих дней принимает одно из решений, указанных в подпунктах 1, 2 пункта 3.6.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доводит его до руководителя структурного подразделения и ответственного за процесс.</w:t>
      </w:r>
      <w:proofErr w:type="gramEnd"/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случае принятия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группой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указанного в подпункте 1 пункта 3.6. настоящего раздела, </w:t>
      </w:r>
      <w:r w:rsidRPr="0021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считается утвержденным протоколом заседания рабочей группы, который 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по системе электронного документооборота всем исполнителям мероприятий, указанным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плане мероприятий, вместе</w:t>
      </w:r>
      <w:r w:rsidRPr="001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в виде плана мероприятий. </w:t>
      </w:r>
    </w:p>
    <w:p w:rsidR="001A36BB" w:rsidRDefault="001A36BB" w:rsidP="00383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рабочая группа приняла решение</w:t>
      </w:r>
      <w:r w:rsidRPr="00211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подпункте 2 пункта 3.6. настоящего раздела, ответственный за процесс осуществляет доработку плана мероприятий в обозначенный в решении рабочей группы срок и вновь направляет их на согласование рабочей группе.</w:t>
      </w:r>
      <w:proofErr w:type="gramEnd"/>
    </w:p>
    <w:p w:rsidR="00383121" w:rsidRPr="00383121" w:rsidRDefault="00383121" w:rsidP="00383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6BB" w:rsidRPr="00E54DDB" w:rsidRDefault="001A36BB" w:rsidP="001A3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54D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54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реализации</w:t>
      </w:r>
    </w:p>
    <w:p w:rsidR="001A36BB" w:rsidRPr="00E54DD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CD43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процесс контролирует выполнение плана мероприятий и в случае его неисполнения или риска неисполнения выносит соответствующий вопрос на рассмотрение рабочей группой.</w:t>
      </w:r>
    </w:p>
    <w:p w:rsidR="001A36BB" w:rsidRDefault="001A36BB" w:rsidP="001A3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внесения изменений в сроки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</w:t>
      </w:r>
      <w:r w:rsidRPr="00A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состав плана мероприятий ответственный за процесс также выносит этот вопрос на рассмотрение рабочей группой.</w:t>
      </w:r>
    </w:p>
    <w:p w:rsidR="001A36BB" w:rsidRPr="0032310B" w:rsidRDefault="001A36BB" w:rsidP="001A3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32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реализации плана мероприятий ответственный за процесс готовит отчет и направляет его на рассмотрение рабочей группе. </w:t>
      </w:r>
    </w:p>
    <w:p w:rsidR="00CB77FC" w:rsidRDefault="001A36BB" w:rsidP="002A0D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в течение 7 рабочих дней рассматривает поступивший отчет. После рассмотрения отчета на заседании рабочей группы реинжиниринг</w:t>
      </w:r>
      <w:r w:rsidR="002A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считается завершенным.</w:t>
      </w:r>
    </w:p>
    <w:p w:rsidR="002A0D03" w:rsidRPr="00EA600C" w:rsidRDefault="002A0D03" w:rsidP="002A0D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0D03" w:rsidRPr="00EA600C" w:rsidSect="00B012C8">
          <w:headerReference w:type="default" r:id="rId9"/>
          <w:pgSz w:w="11900" w:h="16850"/>
          <w:pgMar w:top="1060" w:right="560" w:bottom="851" w:left="1701" w:header="720" w:footer="720" w:gutter="0"/>
          <w:cols w:space="720"/>
          <w:titlePg/>
          <w:docGrid w:linePitch="299"/>
        </w:sect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2591"/>
        <w:gridCol w:w="4252"/>
      </w:tblGrid>
      <w:tr w:rsidR="00CE6A07" w:rsidRPr="00CE6A07" w:rsidTr="00AA7E27">
        <w:tc>
          <w:tcPr>
            <w:tcW w:w="3046" w:type="dxa"/>
          </w:tcPr>
          <w:p w:rsidR="00CE6A07" w:rsidRPr="00CE6A07" w:rsidRDefault="00CE6A07" w:rsidP="002A0D0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91" w:type="dxa"/>
          </w:tcPr>
          <w:p w:rsidR="00CE6A07" w:rsidRPr="00CE6A07" w:rsidRDefault="00CE6A07" w:rsidP="00CE6A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6A07" w:rsidRPr="00CE6A07" w:rsidRDefault="00CE6A07" w:rsidP="00AA7E27">
            <w:pPr>
              <w:rPr>
                <w:rFonts w:ascii="Times New Roman" w:hAnsi="Times New Roman"/>
                <w:sz w:val="24"/>
                <w:szCs w:val="24"/>
              </w:rPr>
            </w:pPr>
            <w:r w:rsidRPr="00CE6A0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CE6A07" w:rsidRDefault="00CE6A07" w:rsidP="00AA7E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A07">
              <w:rPr>
                <w:rFonts w:ascii="Times New Roman" w:hAnsi="Times New Roman"/>
                <w:sz w:val="24"/>
                <w:szCs w:val="24"/>
              </w:rPr>
              <w:t>к П</w:t>
            </w:r>
            <w:r w:rsidR="00AA7E27">
              <w:rPr>
                <w:rFonts w:ascii="Times New Roman" w:hAnsi="Times New Roman"/>
                <w:sz w:val="24"/>
                <w:szCs w:val="24"/>
              </w:rPr>
              <w:t xml:space="preserve">орядку проведения реинжиниринга </w:t>
            </w:r>
            <w:r w:rsidRPr="00CE6A07">
              <w:rPr>
                <w:rFonts w:ascii="Times New Roman" w:hAnsi="Times New Roman"/>
                <w:sz w:val="24"/>
                <w:szCs w:val="24"/>
              </w:rPr>
              <w:t>процессов в администрации муниципального «город Десногорск» Смоленской области</w:t>
            </w:r>
            <w:r w:rsidR="00B01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F45">
              <w:rPr>
                <w:rFonts w:ascii="Times New Roman" w:hAnsi="Times New Roman"/>
                <w:sz w:val="24"/>
                <w:szCs w:val="24"/>
              </w:rPr>
              <w:t>и ее структурных подразделениях</w:t>
            </w:r>
          </w:p>
          <w:p w:rsidR="00CE6A07" w:rsidRDefault="00CE6A07" w:rsidP="00CE6A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05139" w:rsidRDefault="00405139" w:rsidP="00CE6A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6A07" w:rsidRPr="00CE6A07" w:rsidRDefault="00CE6A07" w:rsidP="00CE6A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6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E6A07" w:rsidRPr="00CE6A07" w:rsidRDefault="00CE6A07" w:rsidP="00CE6A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ТИПОВОЙ ПЛАН МЕРОПРИЯТИЙ</w:t>
      </w:r>
    </w:p>
    <w:p w:rsidR="00CE6A07" w:rsidRPr="00CE6A07" w:rsidRDefault="00CE6A07" w:rsidP="00CE6A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РЕАЛИЗАЦИИ ЦЕЛЕВОГО ПОРЯДКА ОСУЩЕСТВЛЕНИЯ ПРОЦЕССА</w:t>
      </w:r>
    </w:p>
    <w:tbl>
      <w:tblPr>
        <w:tblStyle w:val="1"/>
        <w:tblpPr w:leftFromText="180" w:rightFromText="180" w:vertAnchor="text" w:horzAnchor="margin" w:tblpXSpec="center" w:tblpY="299"/>
        <w:tblW w:w="0" w:type="auto"/>
        <w:tblLook w:val="04A0" w:firstRow="1" w:lastRow="0" w:firstColumn="1" w:lastColumn="0" w:noHBand="0" w:noVBand="1"/>
      </w:tblPr>
      <w:tblGrid>
        <w:gridCol w:w="576"/>
        <w:gridCol w:w="1604"/>
        <w:gridCol w:w="1838"/>
        <w:gridCol w:w="1797"/>
        <w:gridCol w:w="4241"/>
      </w:tblGrid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Дата окончания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Образ результата и отчетный документ</w:t>
            </w:r>
          </w:p>
        </w:tc>
      </w:tr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6A07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6A0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</w:rPr>
            </w:pPr>
            <w:r w:rsidRPr="00CE6A0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</w:rPr>
            </w:pPr>
            <w:r w:rsidRPr="00CE6A0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center"/>
              <w:rPr>
                <w:rFonts w:ascii="Times New Roman" w:hAnsi="Times New Roman"/>
                <w:bCs/>
              </w:rPr>
            </w:pPr>
            <w:r w:rsidRPr="00CE6A07">
              <w:rPr>
                <w:rFonts w:ascii="Times New Roman" w:hAnsi="Times New Roman"/>
                <w:bCs/>
              </w:rPr>
              <w:t>5</w:t>
            </w:r>
          </w:p>
        </w:tc>
      </w:tr>
      <w:tr w:rsidR="00251C2B" w:rsidRPr="00CE6A07" w:rsidTr="002618D9">
        <w:tc>
          <w:tcPr>
            <w:tcW w:w="0" w:type="auto"/>
          </w:tcPr>
          <w:p w:rsidR="00251C2B" w:rsidRPr="00CE6A07" w:rsidRDefault="00251C2B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right w:val="nil"/>
            </w:tcBorders>
          </w:tcPr>
          <w:p w:rsidR="00251C2B" w:rsidRPr="00CE6A07" w:rsidRDefault="00251C2B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Организационные мероприятия </w:t>
            </w:r>
          </w:p>
        </w:tc>
        <w:tc>
          <w:tcPr>
            <w:tcW w:w="0" w:type="auto"/>
            <w:tcBorders>
              <w:left w:val="nil"/>
            </w:tcBorders>
          </w:tcPr>
          <w:p w:rsidR="00251C2B" w:rsidRPr="00CE6A07" w:rsidRDefault="00251C2B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E6A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E6A07" w:rsidRPr="00CE6A07" w:rsidTr="00AD7BC6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правовые акты</w:t>
            </w:r>
          </w:p>
        </w:tc>
      </w:tr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6A07" w:rsidRPr="00CE6A07" w:rsidTr="00D27024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Доработка информационных </w:t>
            </w: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систем и развитие инфраструктуры</w:t>
            </w:r>
          </w:p>
        </w:tc>
      </w:tr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6A07" w:rsidRPr="00CE6A07" w:rsidTr="00695FFF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tcBorders>
              <w:right w:val="nil"/>
            </w:tcBorders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Иные мероприятия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E6A07" w:rsidRPr="00CE6A07" w:rsidTr="00CE6A07"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A07"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CE6A07" w:rsidRPr="00CE6A07" w:rsidRDefault="00CE6A07" w:rsidP="00CE6A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E6A07" w:rsidRPr="00CE6A07" w:rsidRDefault="00CE6A07" w:rsidP="00CE6A0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E6A07" w:rsidRPr="00CE6A07" w:rsidRDefault="00CE6A07" w:rsidP="00CE6A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A07" w:rsidRPr="00CE6A07" w:rsidRDefault="00CE6A07" w:rsidP="00CE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C00" w:rsidRDefault="00E42C00"/>
    <w:sectPr w:rsidR="00E42C00" w:rsidSect="0020702C">
      <w:headerReference w:type="default" r:id="rId10"/>
      <w:head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6F" w:rsidRDefault="004F6B6F" w:rsidP="007E5A97">
      <w:pPr>
        <w:spacing w:after="0" w:line="240" w:lineRule="auto"/>
      </w:pPr>
      <w:r>
        <w:separator/>
      </w:r>
    </w:p>
  </w:endnote>
  <w:endnote w:type="continuationSeparator" w:id="0">
    <w:p w:rsidR="004F6B6F" w:rsidRDefault="004F6B6F" w:rsidP="007E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6F" w:rsidRDefault="004F6B6F" w:rsidP="007E5A97">
      <w:pPr>
        <w:spacing w:after="0" w:line="240" w:lineRule="auto"/>
      </w:pPr>
      <w:r>
        <w:separator/>
      </w:r>
    </w:p>
  </w:footnote>
  <w:footnote w:type="continuationSeparator" w:id="0">
    <w:p w:rsidR="004F6B6F" w:rsidRDefault="004F6B6F" w:rsidP="007E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02482"/>
      <w:docPartObj>
        <w:docPartGallery w:val="Page Numbers (Top of Page)"/>
        <w:docPartUnique/>
      </w:docPartObj>
    </w:sdtPr>
    <w:sdtEndPr/>
    <w:sdtContent>
      <w:p w:rsidR="00B012C8" w:rsidRDefault="00B01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961">
          <w:rPr>
            <w:noProof/>
          </w:rPr>
          <w:t>2</w:t>
        </w:r>
        <w:r>
          <w:fldChar w:fldCharType="end"/>
        </w:r>
      </w:p>
    </w:sdtContent>
  </w:sdt>
  <w:p w:rsidR="00B012C8" w:rsidRDefault="00B012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06946"/>
      <w:docPartObj>
        <w:docPartGallery w:val="Page Numbers (Top of Page)"/>
        <w:docPartUnique/>
      </w:docPartObj>
    </w:sdtPr>
    <w:sdtEndPr/>
    <w:sdtContent>
      <w:p w:rsidR="007E5A97" w:rsidRDefault="007E5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FC">
          <w:rPr>
            <w:noProof/>
          </w:rPr>
          <w:t>9</w:t>
        </w:r>
        <w:r>
          <w:fldChar w:fldCharType="end"/>
        </w:r>
      </w:p>
    </w:sdtContent>
  </w:sdt>
  <w:p w:rsidR="007E5A97" w:rsidRDefault="007E5A9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97" w:rsidRDefault="007E5A97">
    <w:pPr>
      <w:pStyle w:val="a7"/>
      <w:jc w:val="center"/>
    </w:pPr>
  </w:p>
  <w:p w:rsidR="007E5A97" w:rsidRDefault="007E5A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5AF"/>
    <w:multiLevelType w:val="hybridMultilevel"/>
    <w:tmpl w:val="3460B306"/>
    <w:lvl w:ilvl="0" w:tplc="783AB8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7126D"/>
    <w:multiLevelType w:val="hybridMultilevel"/>
    <w:tmpl w:val="CDC491DC"/>
    <w:lvl w:ilvl="0" w:tplc="0520E6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54C08"/>
    <w:multiLevelType w:val="multilevel"/>
    <w:tmpl w:val="1870BF0C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3">
    <w:nsid w:val="132E0750"/>
    <w:multiLevelType w:val="hybridMultilevel"/>
    <w:tmpl w:val="BCA6C4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CA1F1E"/>
    <w:multiLevelType w:val="multilevel"/>
    <w:tmpl w:val="A83EF6D8"/>
    <w:lvl w:ilvl="0">
      <w:start w:val="2"/>
      <w:numFmt w:val="decimal"/>
      <w:lvlText w:val="%1"/>
      <w:lvlJc w:val="left"/>
      <w:pPr>
        <w:ind w:left="141" w:hanging="5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78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7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6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9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3" w:hanging="360"/>
      </w:pPr>
      <w:rPr>
        <w:lang w:val="ru-RU" w:eastAsia="en-US" w:bidi="ar-SA"/>
      </w:rPr>
    </w:lvl>
  </w:abstractNum>
  <w:abstractNum w:abstractNumId="5">
    <w:nsid w:val="55462854"/>
    <w:multiLevelType w:val="multilevel"/>
    <w:tmpl w:val="8EE0AA5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A2"/>
    <w:rsid w:val="000141C7"/>
    <w:rsid w:val="00027C55"/>
    <w:rsid w:val="00067D60"/>
    <w:rsid w:val="00074C6E"/>
    <w:rsid w:val="000E48AD"/>
    <w:rsid w:val="0018416F"/>
    <w:rsid w:val="00184998"/>
    <w:rsid w:val="00184E75"/>
    <w:rsid w:val="00194A0E"/>
    <w:rsid w:val="00197A5C"/>
    <w:rsid w:val="001A36BB"/>
    <w:rsid w:val="001B189E"/>
    <w:rsid w:val="001C7E0D"/>
    <w:rsid w:val="001D413F"/>
    <w:rsid w:val="001D4F58"/>
    <w:rsid w:val="001E33EA"/>
    <w:rsid w:val="00201BE6"/>
    <w:rsid w:val="0020702C"/>
    <w:rsid w:val="00211142"/>
    <w:rsid w:val="002227A2"/>
    <w:rsid w:val="002376B9"/>
    <w:rsid w:val="00251C2B"/>
    <w:rsid w:val="00261DEE"/>
    <w:rsid w:val="002A0D03"/>
    <w:rsid w:val="002A52D5"/>
    <w:rsid w:val="002C7157"/>
    <w:rsid w:val="002E54BF"/>
    <w:rsid w:val="003150C2"/>
    <w:rsid w:val="0032310B"/>
    <w:rsid w:val="0035787F"/>
    <w:rsid w:val="00383121"/>
    <w:rsid w:val="00384B94"/>
    <w:rsid w:val="003A4272"/>
    <w:rsid w:val="003A77CB"/>
    <w:rsid w:val="003C24CC"/>
    <w:rsid w:val="003D6A48"/>
    <w:rsid w:val="00405139"/>
    <w:rsid w:val="00423806"/>
    <w:rsid w:val="004475FA"/>
    <w:rsid w:val="0046651D"/>
    <w:rsid w:val="00493DD4"/>
    <w:rsid w:val="004A419F"/>
    <w:rsid w:val="004F4F60"/>
    <w:rsid w:val="004F6B6F"/>
    <w:rsid w:val="005103C9"/>
    <w:rsid w:val="00517FBB"/>
    <w:rsid w:val="0053102C"/>
    <w:rsid w:val="005545A0"/>
    <w:rsid w:val="00563DCF"/>
    <w:rsid w:val="005A4032"/>
    <w:rsid w:val="005A712A"/>
    <w:rsid w:val="005B02A8"/>
    <w:rsid w:val="005B5F45"/>
    <w:rsid w:val="005E0610"/>
    <w:rsid w:val="005F08D5"/>
    <w:rsid w:val="006034BC"/>
    <w:rsid w:val="00612FB7"/>
    <w:rsid w:val="00631A62"/>
    <w:rsid w:val="00637CE9"/>
    <w:rsid w:val="00660B54"/>
    <w:rsid w:val="006639CE"/>
    <w:rsid w:val="006814CF"/>
    <w:rsid w:val="006817A8"/>
    <w:rsid w:val="00694FB1"/>
    <w:rsid w:val="006B3105"/>
    <w:rsid w:val="006C20E8"/>
    <w:rsid w:val="007066F3"/>
    <w:rsid w:val="00721587"/>
    <w:rsid w:val="00746ECA"/>
    <w:rsid w:val="00764D72"/>
    <w:rsid w:val="00790722"/>
    <w:rsid w:val="007C265C"/>
    <w:rsid w:val="007D2062"/>
    <w:rsid w:val="007D58C2"/>
    <w:rsid w:val="007E5A97"/>
    <w:rsid w:val="007F633A"/>
    <w:rsid w:val="00803E1B"/>
    <w:rsid w:val="00804165"/>
    <w:rsid w:val="00806005"/>
    <w:rsid w:val="00815AEB"/>
    <w:rsid w:val="008310F8"/>
    <w:rsid w:val="00834068"/>
    <w:rsid w:val="008D6435"/>
    <w:rsid w:val="008F7448"/>
    <w:rsid w:val="00933D53"/>
    <w:rsid w:val="00942DEE"/>
    <w:rsid w:val="00954927"/>
    <w:rsid w:val="00964114"/>
    <w:rsid w:val="00985F3B"/>
    <w:rsid w:val="00985F65"/>
    <w:rsid w:val="009B3E7F"/>
    <w:rsid w:val="009F5EC8"/>
    <w:rsid w:val="00A00E26"/>
    <w:rsid w:val="00A55954"/>
    <w:rsid w:val="00A578A6"/>
    <w:rsid w:val="00A76FD7"/>
    <w:rsid w:val="00A77CF8"/>
    <w:rsid w:val="00AA0133"/>
    <w:rsid w:val="00AA7E27"/>
    <w:rsid w:val="00AC71B1"/>
    <w:rsid w:val="00AD0A31"/>
    <w:rsid w:val="00AF5615"/>
    <w:rsid w:val="00B012C8"/>
    <w:rsid w:val="00B061BC"/>
    <w:rsid w:val="00B11866"/>
    <w:rsid w:val="00B1432E"/>
    <w:rsid w:val="00B22B3A"/>
    <w:rsid w:val="00B23B8D"/>
    <w:rsid w:val="00B35E68"/>
    <w:rsid w:val="00B36ABA"/>
    <w:rsid w:val="00B44424"/>
    <w:rsid w:val="00B643B0"/>
    <w:rsid w:val="00B84FF1"/>
    <w:rsid w:val="00C052DE"/>
    <w:rsid w:val="00C168C5"/>
    <w:rsid w:val="00C336C4"/>
    <w:rsid w:val="00C75CE8"/>
    <w:rsid w:val="00C7714C"/>
    <w:rsid w:val="00CA004F"/>
    <w:rsid w:val="00CA5869"/>
    <w:rsid w:val="00CB77FC"/>
    <w:rsid w:val="00CD4334"/>
    <w:rsid w:val="00CE1E97"/>
    <w:rsid w:val="00CE6A07"/>
    <w:rsid w:val="00D02132"/>
    <w:rsid w:val="00D0795B"/>
    <w:rsid w:val="00D10A50"/>
    <w:rsid w:val="00D17F34"/>
    <w:rsid w:val="00D2303B"/>
    <w:rsid w:val="00D23C06"/>
    <w:rsid w:val="00D97E95"/>
    <w:rsid w:val="00DA0986"/>
    <w:rsid w:val="00DE67D3"/>
    <w:rsid w:val="00E007C0"/>
    <w:rsid w:val="00E07664"/>
    <w:rsid w:val="00E16961"/>
    <w:rsid w:val="00E42C00"/>
    <w:rsid w:val="00E54DDB"/>
    <w:rsid w:val="00EA53F2"/>
    <w:rsid w:val="00EA600C"/>
    <w:rsid w:val="00EB0886"/>
    <w:rsid w:val="00ED4F24"/>
    <w:rsid w:val="00F24C0E"/>
    <w:rsid w:val="00F303CF"/>
    <w:rsid w:val="00F40485"/>
    <w:rsid w:val="00F4347C"/>
    <w:rsid w:val="00F472F3"/>
    <w:rsid w:val="00F7152E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E42C0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2C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C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C00"/>
    <w:pPr>
      <w:ind w:left="720"/>
      <w:contextualSpacing/>
    </w:pPr>
  </w:style>
  <w:style w:type="table" w:styleId="a6">
    <w:name w:val="Table Grid"/>
    <w:basedOn w:val="a1"/>
    <w:uiPriority w:val="39"/>
    <w:rsid w:val="00CE6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E6A0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E5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A97"/>
  </w:style>
  <w:style w:type="paragraph" w:styleId="a9">
    <w:name w:val="footer"/>
    <w:basedOn w:val="a"/>
    <w:link w:val="aa"/>
    <w:uiPriority w:val="99"/>
    <w:unhideWhenUsed/>
    <w:rsid w:val="007E5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E42C0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2C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C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C00"/>
    <w:pPr>
      <w:ind w:left="720"/>
      <w:contextualSpacing/>
    </w:pPr>
  </w:style>
  <w:style w:type="table" w:styleId="a6">
    <w:name w:val="Table Grid"/>
    <w:basedOn w:val="a1"/>
    <w:uiPriority w:val="39"/>
    <w:rsid w:val="00CE6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E6A0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E5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A97"/>
  </w:style>
  <w:style w:type="paragraph" w:styleId="a9">
    <w:name w:val="footer"/>
    <w:basedOn w:val="a"/>
    <w:link w:val="aa"/>
    <w:uiPriority w:val="99"/>
    <w:unhideWhenUsed/>
    <w:rsid w:val="007E5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ManagerKazna-FU</dc:creator>
  <cp:lastModifiedBy>ManagerKazna-FU</cp:lastModifiedBy>
  <cp:revision>142</cp:revision>
  <cp:lastPrinted>2025-10-20T08:16:00Z</cp:lastPrinted>
  <dcterms:created xsi:type="dcterms:W3CDTF">2025-10-14T06:44:00Z</dcterms:created>
  <dcterms:modified xsi:type="dcterms:W3CDTF">2025-10-23T10:27:00Z</dcterms:modified>
</cp:coreProperties>
</file>