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B5" w:rsidRDefault="006F443E" w:rsidP="006F443E">
      <w:pPr>
        <w:shd w:val="clear" w:color="auto" w:fill="FFFFFF"/>
        <w:ind w:firstLine="708"/>
        <w:jc w:val="center"/>
        <w:rPr>
          <w:b/>
          <w:color w:val="000000"/>
        </w:rPr>
      </w:pPr>
      <w:r w:rsidRPr="006F443E">
        <w:rPr>
          <w:b/>
          <w:color w:val="000000"/>
        </w:rPr>
        <w:t>Аналитическая справка</w:t>
      </w:r>
      <w:r w:rsidR="00A048B5">
        <w:rPr>
          <w:b/>
          <w:color w:val="000000"/>
        </w:rPr>
        <w:t xml:space="preserve"> </w:t>
      </w:r>
    </w:p>
    <w:p w:rsidR="006F443E" w:rsidRPr="006F443E" w:rsidRDefault="006F443E" w:rsidP="006F443E">
      <w:pPr>
        <w:shd w:val="clear" w:color="auto" w:fill="FFFFFF"/>
        <w:ind w:firstLine="708"/>
        <w:jc w:val="center"/>
        <w:rPr>
          <w:b/>
          <w:color w:val="000000"/>
        </w:rPr>
      </w:pPr>
      <w:r w:rsidRPr="006F443E">
        <w:rPr>
          <w:b/>
          <w:color w:val="000000"/>
        </w:rPr>
        <w:t>об оценке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 эффективности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налоговых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расходов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 xml:space="preserve">муниципального </w:t>
      </w:r>
      <w:r>
        <w:rPr>
          <w:b/>
          <w:color w:val="000000"/>
        </w:rPr>
        <w:t xml:space="preserve"> </w:t>
      </w:r>
      <w:r w:rsidRPr="006F443E">
        <w:rPr>
          <w:b/>
          <w:color w:val="000000"/>
        </w:rPr>
        <w:t>образования «город Десногорск» Смоленской области за 202</w:t>
      </w:r>
      <w:r w:rsidR="00E93E54">
        <w:rPr>
          <w:b/>
          <w:color w:val="000000"/>
        </w:rPr>
        <w:t>5</w:t>
      </w:r>
      <w:r w:rsidRPr="006F443E">
        <w:rPr>
          <w:b/>
          <w:color w:val="000000"/>
        </w:rPr>
        <w:t xml:space="preserve"> год</w:t>
      </w:r>
    </w:p>
    <w:p w:rsidR="006F443E" w:rsidRDefault="006F443E" w:rsidP="00A93218">
      <w:pPr>
        <w:shd w:val="clear" w:color="auto" w:fill="FFFFFF"/>
        <w:ind w:firstLine="708"/>
        <w:jc w:val="both"/>
        <w:rPr>
          <w:color w:val="000000"/>
        </w:rPr>
      </w:pPr>
    </w:p>
    <w:p w:rsidR="006F443E" w:rsidRDefault="006F443E" w:rsidP="00A93218">
      <w:pPr>
        <w:shd w:val="clear" w:color="auto" w:fill="FFFFFF"/>
        <w:ind w:firstLine="708"/>
        <w:jc w:val="both"/>
        <w:rPr>
          <w:color w:val="000000"/>
        </w:rPr>
      </w:pPr>
    </w:p>
    <w:p w:rsidR="00A93218" w:rsidRDefault="00A93218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налоговых расходов </w:t>
      </w:r>
      <w:r w:rsidR="00E342F7">
        <w:rPr>
          <w:color w:val="000000"/>
        </w:rPr>
        <w:t>за 202</w:t>
      </w:r>
      <w:r w:rsidR="00E93E54">
        <w:rPr>
          <w:color w:val="000000"/>
        </w:rPr>
        <w:t>5</w:t>
      </w:r>
      <w:r w:rsidR="00E342F7">
        <w:rPr>
          <w:color w:val="000000"/>
        </w:rPr>
        <w:t xml:space="preserve"> год была </w:t>
      </w:r>
      <w:r>
        <w:rPr>
          <w:color w:val="000000"/>
        </w:rPr>
        <w:t>проведена в соответствии с постановлением Администрации муниципального образования «город Десногорск» Смоленской области  № 755 от 25.10.2020 (в редакции от 26.04.2021 № 369) «Об утверждении порядка оценки эффективности налоговых расходов муниципального образования «город Десногорск» Смоленской области».</w:t>
      </w:r>
    </w:p>
    <w:p w:rsidR="00C76E87" w:rsidRDefault="00003AD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проводилась в отношении налоговых расходов </w:t>
      </w:r>
      <w:r w:rsidR="00E342F7">
        <w:rPr>
          <w:color w:val="000000"/>
        </w:rPr>
        <w:t>по земельному нало</w:t>
      </w:r>
      <w:r w:rsidR="00C76E87">
        <w:rPr>
          <w:color w:val="000000"/>
        </w:rPr>
        <w:t>гу физических и юридических лиц</w:t>
      </w:r>
      <w:r w:rsidR="00A02B0E">
        <w:rPr>
          <w:color w:val="000000"/>
        </w:rPr>
        <w:t>, а так же</w:t>
      </w:r>
      <w:r w:rsidR="00C76E87">
        <w:rPr>
          <w:color w:val="000000"/>
        </w:rPr>
        <w:t xml:space="preserve"> </w:t>
      </w:r>
      <w:r w:rsidR="00A02B0E">
        <w:rPr>
          <w:color w:val="000000"/>
        </w:rPr>
        <w:t>н</w:t>
      </w:r>
      <w:r w:rsidR="00A02B0E" w:rsidRPr="00A02B0E">
        <w:rPr>
          <w:color w:val="000000"/>
        </w:rPr>
        <w:t>алог</w:t>
      </w:r>
      <w:r w:rsidR="00A02B0E">
        <w:rPr>
          <w:color w:val="000000"/>
        </w:rPr>
        <w:t>у</w:t>
      </w:r>
      <w:r w:rsidR="00A02B0E" w:rsidRPr="00A02B0E">
        <w:rPr>
          <w:color w:val="000000"/>
        </w:rPr>
        <w:t xml:space="preserve"> на имущество физических лиц</w:t>
      </w:r>
      <w:r w:rsidR="00A02B0E">
        <w:rPr>
          <w:color w:val="000000"/>
        </w:rPr>
        <w:t xml:space="preserve">, </w:t>
      </w:r>
      <w:r w:rsidR="00C76E87">
        <w:rPr>
          <w:color w:val="000000"/>
        </w:rPr>
        <w:t>по следующим целевым категориям налогоплательщиков:</w:t>
      </w:r>
    </w:p>
    <w:p w:rsidR="00A93218" w:rsidRDefault="00E342F7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A93218">
        <w:rPr>
          <w:color w:val="000000"/>
        </w:rPr>
        <w:t xml:space="preserve"> </w:t>
      </w:r>
      <w:r w:rsidR="00C76E87">
        <w:rPr>
          <w:color w:val="000000"/>
        </w:rPr>
        <w:t>органы</w:t>
      </w:r>
      <w:r>
        <w:rPr>
          <w:color w:val="000000"/>
        </w:rPr>
        <w:t xml:space="preserve"> местного самоуправления;</w:t>
      </w:r>
    </w:p>
    <w:p w:rsidR="00E342F7" w:rsidRPr="00E93E54" w:rsidRDefault="00E342F7" w:rsidP="00E93E54">
      <w:pPr>
        <w:shd w:val="clear" w:color="auto" w:fill="FFFFFF"/>
        <w:ind w:firstLine="708"/>
        <w:jc w:val="both"/>
      </w:pPr>
      <w:r>
        <w:rPr>
          <w:color w:val="000000"/>
        </w:rPr>
        <w:t xml:space="preserve">-  </w:t>
      </w:r>
      <w:r w:rsidR="00C76E87">
        <w:rPr>
          <w:color w:val="000000"/>
        </w:rPr>
        <w:t>м</w:t>
      </w:r>
      <w:r w:rsidR="00C76E87" w:rsidRPr="00C76E87">
        <w:t>униципальные бюджетные, автономные, казенные учреждения, полностью или частично финансируемые за счет средств местного бюджета</w:t>
      </w:r>
      <w:r>
        <w:t>;</w:t>
      </w:r>
    </w:p>
    <w:p w:rsidR="00E342F7" w:rsidRDefault="00E342F7" w:rsidP="00E342F7">
      <w:pPr>
        <w:jc w:val="both"/>
      </w:pPr>
      <w:r>
        <w:rPr>
          <w:color w:val="000000"/>
        </w:rPr>
        <w:t xml:space="preserve">          -  </w:t>
      </w:r>
      <w:r w:rsidR="00C76E87">
        <w:rPr>
          <w:color w:val="000000"/>
        </w:rPr>
        <w:t>м</w:t>
      </w:r>
      <w:r w:rsidR="00C76E87" w:rsidRPr="00C76E87">
        <w:t>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домов индивидуального жилищного строительства</w:t>
      </w:r>
      <w:r>
        <w:t>;</w:t>
      </w:r>
    </w:p>
    <w:p w:rsidR="00C76E87" w:rsidRDefault="00E342F7" w:rsidP="00C76E87">
      <w:pPr>
        <w:jc w:val="both"/>
      </w:pPr>
      <w:r>
        <w:t xml:space="preserve">         -  </w:t>
      </w:r>
      <w:r w:rsidR="00C76E87">
        <w:t>и</w:t>
      </w:r>
      <w:r w:rsidR="00C76E87" w:rsidRPr="00C76E87">
        <w:t>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</w:r>
      <w:r w:rsidR="00C76E87">
        <w:t>;</w:t>
      </w:r>
    </w:p>
    <w:p w:rsidR="00C76E87" w:rsidRDefault="00C76E87" w:rsidP="00C76E87">
      <w:pPr>
        <w:jc w:val="both"/>
        <w:rPr>
          <w:color w:val="000000"/>
        </w:rPr>
      </w:pPr>
      <w:r>
        <w:rPr>
          <w:color w:val="000000"/>
        </w:rPr>
        <w:t xml:space="preserve">         -  </w:t>
      </w:r>
      <w:r>
        <w:t>н</w:t>
      </w:r>
      <w:r w:rsidRPr="00C76E87">
        <w:t xml:space="preserve">еработающие пенсионеры - </w:t>
      </w:r>
      <w:r w:rsidRPr="00C76E87">
        <w:rPr>
          <w:color w:val="000000"/>
        </w:rPr>
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</w:r>
      <w:r>
        <w:rPr>
          <w:color w:val="000000"/>
        </w:rPr>
        <w:t>;</w:t>
      </w:r>
    </w:p>
    <w:p w:rsidR="00C76E87" w:rsidRDefault="00C76E87" w:rsidP="00C76E87">
      <w:pPr>
        <w:jc w:val="both"/>
      </w:pPr>
      <w:r>
        <w:rPr>
          <w:color w:val="000000"/>
        </w:rPr>
        <w:t xml:space="preserve">         -  </w:t>
      </w:r>
      <w:r w:rsidRPr="00C76E87">
        <w:rPr>
          <w:color w:val="000000"/>
        </w:rPr>
        <w:t>и</w:t>
      </w:r>
      <w:r w:rsidRPr="00C76E87">
        <w:t xml:space="preserve">нвесторы, признанные таковыми на основании решения </w:t>
      </w:r>
      <w:proofErr w:type="spellStart"/>
      <w:r w:rsidRPr="00C76E87">
        <w:t>Десногорского</w:t>
      </w:r>
      <w:proofErr w:type="spellEnd"/>
      <w:r w:rsidRPr="00C76E87">
        <w:t xml:space="preserve">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</w:r>
    </w:p>
    <w:p w:rsidR="00C76E87" w:rsidRPr="00C76E87" w:rsidRDefault="00C76E87" w:rsidP="00C76E87">
      <w:pPr>
        <w:jc w:val="both"/>
        <w:rPr>
          <w:color w:val="000000"/>
        </w:rPr>
      </w:pPr>
      <w:r>
        <w:t xml:space="preserve">         -  в</w:t>
      </w:r>
      <w:r w:rsidRPr="00C76E87">
        <w:t>довы Героев Советского Союза, Героев Российской Федерации, Героев Социалистического труда и полных кавалеров орденов Славы</w:t>
      </w:r>
      <w:r>
        <w:t>;</w:t>
      </w:r>
    </w:p>
    <w:p w:rsidR="00C76E87" w:rsidRDefault="00C76E87" w:rsidP="00C76E87">
      <w:pPr>
        <w:jc w:val="both"/>
        <w:rPr>
          <w:color w:val="000000"/>
        </w:rPr>
      </w:pPr>
      <w:r w:rsidRPr="00C76E87">
        <w:rPr>
          <w:color w:val="000000"/>
        </w:rPr>
        <w:t xml:space="preserve"> </w:t>
      </w:r>
      <w:r>
        <w:rPr>
          <w:color w:val="000000"/>
        </w:rPr>
        <w:t xml:space="preserve">а  </w:t>
      </w:r>
      <w:r w:rsidRPr="00C76E87">
        <w:rPr>
          <w:color w:val="000000"/>
        </w:rPr>
        <w:t>также по налогу на имущество физических лиц</w:t>
      </w:r>
      <w:r w:rsidR="00003AD5">
        <w:rPr>
          <w:color w:val="000000"/>
        </w:rPr>
        <w:t xml:space="preserve"> в отношении</w:t>
      </w:r>
      <w:r w:rsidRPr="00C76E87">
        <w:rPr>
          <w:color w:val="000000"/>
        </w:rPr>
        <w:t>:</w:t>
      </w:r>
    </w:p>
    <w:p w:rsidR="00C76E87" w:rsidRPr="00C76E87" w:rsidRDefault="00C76E87" w:rsidP="00C76E87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 xml:space="preserve">-  </w:t>
      </w:r>
      <w:r>
        <w:t>н</w:t>
      </w:r>
      <w:r w:rsidRPr="00C76E87">
        <w:t>есовершеннолетни</w:t>
      </w:r>
      <w:r w:rsidR="00003AD5">
        <w:t>х детей</w:t>
      </w:r>
      <w:r w:rsidRPr="00C76E87">
        <w:t xml:space="preserve">  - сирот и дет</w:t>
      </w:r>
      <w:r w:rsidR="00003AD5">
        <w:t>ей</w:t>
      </w:r>
      <w:r w:rsidRPr="00C76E87">
        <w:t>, оставшиеся без попечения родителей, лиц из числа детей-сирот, оставшиеся без попечения родителей, обучающиеся в образовательных организациях на полном государственном обеспечении</w:t>
      </w:r>
      <w:r>
        <w:t>.</w:t>
      </w:r>
      <w:proofErr w:type="gramEnd"/>
    </w:p>
    <w:p w:rsidR="00E342F7" w:rsidRDefault="00E342F7" w:rsidP="00A93218">
      <w:pPr>
        <w:shd w:val="clear" w:color="auto" w:fill="FFFFFF"/>
        <w:ind w:firstLine="708"/>
        <w:jc w:val="both"/>
        <w:rPr>
          <w:color w:val="000000"/>
        </w:rPr>
      </w:pPr>
    </w:p>
    <w:p w:rsidR="00A93218" w:rsidRDefault="00A93218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Оценка эффективности налоговых расходов проводится в целях минимизации риска предоставления неэффективных налоговых расходов. </w:t>
      </w:r>
    </w:p>
    <w:p w:rsidR="004202D3" w:rsidRDefault="004202D3" w:rsidP="004202D3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При оценке налоговых расходов 202</w:t>
      </w:r>
      <w:r w:rsidR="00E93E54">
        <w:rPr>
          <w:color w:val="000000"/>
        </w:rPr>
        <w:t>5</w:t>
      </w:r>
      <w:r>
        <w:rPr>
          <w:color w:val="000000"/>
        </w:rPr>
        <w:t xml:space="preserve"> года учтены </w:t>
      </w:r>
      <w:r w:rsidR="006F0B18">
        <w:rPr>
          <w:color w:val="000000"/>
        </w:rPr>
        <w:t>прогнозные данные</w:t>
      </w:r>
      <w:r w:rsidR="002F3FFE">
        <w:rPr>
          <w:color w:val="000000"/>
        </w:rPr>
        <w:t>, предоставленные кураторами налоговых расходов</w:t>
      </w:r>
      <w:r w:rsidR="00A048B5">
        <w:rPr>
          <w:color w:val="000000"/>
        </w:rPr>
        <w:t>, а также по прогнозным данным налогоплательщиков юридических лиц.</w:t>
      </w:r>
    </w:p>
    <w:p w:rsidR="00F74E4C" w:rsidRDefault="00F74E4C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Общая сумма выпадающих доходов за 202</w:t>
      </w:r>
      <w:r w:rsidR="00E93E54">
        <w:rPr>
          <w:color w:val="000000"/>
        </w:rPr>
        <w:t>5</w:t>
      </w:r>
      <w:r>
        <w:rPr>
          <w:color w:val="000000"/>
        </w:rPr>
        <w:t xml:space="preserve"> год составила </w:t>
      </w:r>
      <w:r w:rsidR="00797A8C" w:rsidRPr="00797A8C">
        <w:t>4 370</w:t>
      </w:r>
      <w:r w:rsidR="00C36372" w:rsidRPr="00797A8C">
        <w:t>,0</w:t>
      </w:r>
      <w:r w:rsidR="00C36372" w:rsidRPr="0051196D">
        <w:t xml:space="preserve"> </w:t>
      </w:r>
      <w:r>
        <w:rPr>
          <w:color w:val="000000"/>
        </w:rPr>
        <w:t>тыс. рублей.</w:t>
      </w:r>
    </w:p>
    <w:p w:rsidR="00D01965" w:rsidRDefault="00D0196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Оценка эффективности налоговых расходов включает:</w:t>
      </w:r>
    </w:p>
    <w:p w:rsidR="00D01965" w:rsidRDefault="00D0196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а) оценку целесообразности налоговых расходов;</w:t>
      </w:r>
    </w:p>
    <w:p w:rsidR="00D01965" w:rsidRDefault="00D01965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б) оценку результативности налоговых расходов.</w:t>
      </w:r>
    </w:p>
    <w:p w:rsidR="00A93218" w:rsidRDefault="00A93218" w:rsidP="00A93218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Критериями целесообразности налоговых расходов являются:</w:t>
      </w:r>
    </w:p>
    <w:p w:rsidR="00D01965" w:rsidRDefault="00D01965" w:rsidP="00D0196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A93218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="00A93218">
        <w:rPr>
          <w:color w:val="000000"/>
        </w:rPr>
        <w:t>соответствие налоговых расходо</w:t>
      </w:r>
      <w:r>
        <w:rPr>
          <w:color w:val="000000"/>
        </w:rPr>
        <w:t xml:space="preserve">в целям муниципальных программ, и </w:t>
      </w:r>
      <w:r w:rsidR="00660A80">
        <w:rPr>
          <w:color w:val="000000"/>
        </w:rPr>
        <w:t>(</w:t>
      </w:r>
      <w:r>
        <w:rPr>
          <w:color w:val="000000"/>
        </w:rPr>
        <w:t>или) целям социально-экономической политики муниципального образования, не относящейся к муниципальной программе.</w:t>
      </w:r>
    </w:p>
    <w:p w:rsidR="00A93218" w:rsidRDefault="00D01965" w:rsidP="00D01965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A93218">
        <w:rPr>
          <w:color w:val="000000"/>
        </w:rPr>
        <w:t xml:space="preserve">востребованность плательщиками предоставленных льгот, </w:t>
      </w:r>
      <w:proofErr w:type="gramStart"/>
      <w:r w:rsidR="00A93218">
        <w:rPr>
          <w:color w:val="000000"/>
        </w:rPr>
        <w:t>которая</w:t>
      </w:r>
      <w:proofErr w:type="gramEnd"/>
      <w:r w:rsidR="00A93218">
        <w:rPr>
          <w:color w:val="000000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9E2BB6" w:rsidRDefault="009E2BB6" w:rsidP="00D01965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  <w:r>
        <w:rPr>
          <w:color w:val="000000"/>
        </w:rPr>
        <w:t>По критериям целесообразности льготы соответствуют целям муниципальных программ и цел</w:t>
      </w:r>
      <w:r w:rsidR="00003AD5">
        <w:rPr>
          <w:color w:val="000000"/>
        </w:rPr>
        <w:t>ям</w:t>
      </w:r>
      <w:r>
        <w:rPr>
          <w:color w:val="000000"/>
        </w:rPr>
        <w:t xml:space="preserve"> стратегии социально-экономического разв</w:t>
      </w:r>
      <w:r w:rsidR="00003AD5">
        <w:rPr>
          <w:color w:val="000000"/>
        </w:rPr>
        <w:t>ития муниципального образования и являются востребованными.</w:t>
      </w:r>
    </w:p>
    <w:p w:rsidR="00003AD5" w:rsidRDefault="00003AD5" w:rsidP="00D01965">
      <w:pPr>
        <w:shd w:val="clear" w:color="auto" w:fill="FFFFFF"/>
        <w:tabs>
          <w:tab w:val="left" w:pos="1418"/>
        </w:tabs>
        <w:ind w:firstLine="708"/>
        <w:jc w:val="both"/>
        <w:rPr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1094"/>
        <w:gridCol w:w="1842"/>
        <w:gridCol w:w="1843"/>
        <w:gridCol w:w="1843"/>
      </w:tblGrid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BB541E" w:rsidRDefault="00BB541E" w:rsidP="006F0B18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  <w:lang w:eastAsia="en-US"/>
              </w:rPr>
              <w:t>202</w:t>
            </w:r>
            <w:r w:rsidR="0014259D">
              <w:rPr>
                <w:sz w:val="20"/>
                <w:szCs w:val="20"/>
                <w:lang w:eastAsia="en-US"/>
              </w:rPr>
              <w:t>5</w:t>
            </w:r>
            <w:r w:rsidRPr="00BB541E">
              <w:rPr>
                <w:sz w:val="20"/>
                <w:szCs w:val="20"/>
                <w:lang w:eastAsia="en-US"/>
              </w:rPr>
              <w:t xml:space="preserve"> год </w:t>
            </w:r>
            <w:r w:rsidR="00003AD5">
              <w:rPr>
                <w:sz w:val="20"/>
                <w:szCs w:val="20"/>
                <w:lang w:eastAsia="en-US"/>
              </w:rPr>
              <w:t>(прогноз)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BB541E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B541E">
              <w:rPr>
                <w:sz w:val="20"/>
                <w:szCs w:val="20"/>
              </w:rPr>
              <w:t>ед</w:t>
            </w:r>
            <w:proofErr w:type="gramStart"/>
            <w:r w:rsidRPr="00BB541E">
              <w:rPr>
                <w:sz w:val="20"/>
                <w:szCs w:val="20"/>
              </w:rPr>
              <w:t>.и</w:t>
            </w:r>
            <w:proofErr w:type="gramEnd"/>
            <w:r w:rsidRPr="00BB541E">
              <w:rPr>
                <w:sz w:val="20"/>
                <w:szCs w:val="20"/>
              </w:rPr>
              <w:t>зм</w:t>
            </w:r>
            <w:proofErr w:type="spellEnd"/>
            <w:r w:rsidRPr="00BB541E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BB541E" w:rsidRDefault="00BB541E" w:rsidP="00206E4D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</w:rPr>
              <w:t>Земельный налог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BB541E" w:rsidRDefault="00BB541E" w:rsidP="00206E4D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</w:rPr>
              <w:t xml:space="preserve">Земельный налог физических лиц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BB541E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BB541E">
              <w:rPr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Сумма налога начисленного</w:t>
            </w:r>
            <w:r>
              <w:rPr>
                <w:sz w:val="20"/>
                <w:szCs w:val="20"/>
              </w:rPr>
              <w:t>,</w:t>
            </w:r>
            <w:r w:rsidRPr="00506E26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506E26">
              <w:rPr>
                <w:sz w:val="20"/>
                <w:szCs w:val="20"/>
              </w:rPr>
              <w:t>тыс</w:t>
            </w:r>
            <w:proofErr w:type="gramStart"/>
            <w:r w:rsidRPr="00506E26">
              <w:rPr>
                <w:sz w:val="20"/>
                <w:szCs w:val="20"/>
              </w:rPr>
              <w:t>.р</w:t>
            </w:r>
            <w:proofErr w:type="gramEnd"/>
            <w:r w:rsidRPr="00506E26">
              <w:rPr>
                <w:sz w:val="20"/>
                <w:szCs w:val="20"/>
              </w:rPr>
              <w:t>уб</w:t>
            </w:r>
            <w:proofErr w:type="spellEnd"/>
            <w:r w:rsidRPr="00506E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F06C89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7 313</w:t>
            </w:r>
            <w:r w:rsidR="00C36372" w:rsidRPr="004438F9">
              <w:rPr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F06C89" w:rsidP="0024339B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1 390</w:t>
            </w:r>
            <w:r w:rsidR="00C36372" w:rsidRPr="004438F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F06C89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22 921</w:t>
            </w:r>
            <w:r w:rsidR="00C36372" w:rsidRPr="004438F9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Сумма предоставленных налоговых льгот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506E26">
              <w:rPr>
                <w:sz w:val="20"/>
                <w:szCs w:val="20"/>
              </w:rPr>
              <w:t>тыс</w:t>
            </w:r>
            <w:proofErr w:type="gramStart"/>
            <w:r w:rsidRPr="00506E26">
              <w:rPr>
                <w:sz w:val="20"/>
                <w:szCs w:val="20"/>
              </w:rPr>
              <w:t>.р</w:t>
            </w:r>
            <w:proofErr w:type="gramEnd"/>
            <w:r w:rsidRPr="00506E26">
              <w:rPr>
                <w:sz w:val="20"/>
                <w:szCs w:val="20"/>
              </w:rPr>
              <w:t>уб</w:t>
            </w:r>
            <w:proofErr w:type="spellEnd"/>
            <w:r w:rsidRPr="00506E2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8A6AD8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4 361</w:t>
            </w:r>
            <w:r w:rsidR="00C36372" w:rsidRPr="007E06E2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4A1CC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C36372" w:rsidRPr="00951AA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C36372" w:rsidRPr="00951AAF">
              <w:rPr>
                <w:sz w:val="20"/>
                <w:szCs w:val="20"/>
                <w:lang w:eastAsia="en-US"/>
              </w:rPr>
              <w:t>,0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bookmarkStart w:id="0" w:name="_GoBack" w:colFirst="2" w:colLast="4"/>
            <w:r w:rsidRPr="00506E26">
              <w:rPr>
                <w:sz w:val="20"/>
                <w:szCs w:val="20"/>
              </w:rPr>
              <w:t>Общая численность налогоплательщиков, имеющих право на льготу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827F84" w:rsidRDefault="00DE444B" w:rsidP="00206E4D">
            <w:pPr>
              <w:jc w:val="both"/>
              <w:rPr>
                <w:sz w:val="20"/>
                <w:szCs w:val="20"/>
                <w:lang w:eastAsia="en-US"/>
              </w:rPr>
            </w:pPr>
            <w:r w:rsidRPr="00827F84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827F84" w:rsidRDefault="00DE444B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827F84">
              <w:rPr>
                <w:sz w:val="20"/>
                <w:szCs w:val="20"/>
                <w:lang w:eastAsia="en-US"/>
              </w:rPr>
              <w:t>7138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827F84" w:rsidRDefault="00DE444B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827F84">
              <w:rPr>
                <w:sz w:val="20"/>
                <w:szCs w:val="20"/>
                <w:lang w:eastAsia="en-US"/>
              </w:rPr>
              <w:t>28</w:t>
            </w:r>
          </w:p>
        </w:tc>
      </w:tr>
      <w:bookmarkEnd w:id="0"/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Численность налогоплательщиков применивших льготу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BB541E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951AAF">
              <w:rPr>
                <w:sz w:val="20"/>
                <w:szCs w:val="20"/>
              </w:rPr>
              <w:t>2</w:t>
            </w:r>
            <w:r w:rsidR="008A6AD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8A6AD8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506E26">
              <w:rPr>
                <w:rFonts w:ascii="yandex-sans" w:hAnsi="yandex-sans"/>
                <w:color w:val="000000"/>
                <w:sz w:val="20"/>
                <w:szCs w:val="20"/>
              </w:rPr>
              <w:t>Востребованность плательщиков</w:t>
            </w:r>
          </w:p>
          <w:p w:rsidR="00BB541E" w:rsidRPr="00506E26" w:rsidRDefault="00BB541E" w:rsidP="00A93218">
            <w:pPr>
              <w:shd w:val="clear" w:color="auto" w:fill="FFFFFF"/>
              <w:jc w:val="both"/>
              <w:rPr>
                <w:sz w:val="20"/>
                <w:szCs w:val="20"/>
                <w:lang w:eastAsia="en-US"/>
              </w:rPr>
            </w:pPr>
            <w:r w:rsidRPr="00506E26">
              <w:rPr>
                <w:rFonts w:ascii="yandex-sans" w:hAnsi="yandex-sans"/>
                <w:color w:val="000000"/>
                <w:sz w:val="20"/>
                <w:szCs w:val="20"/>
              </w:rPr>
              <w:t>физических лиц в получении налоговой льготы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center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DE444B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C36372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E44D04"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DE444B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78,6</w:t>
            </w:r>
          </w:p>
        </w:tc>
      </w:tr>
      <w:tr w:rsidR="00BB541E" w:rsidRPr="00506E26" w:rsidTr="00BB541E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506E26" w:rsidRDefault="00BB541E" w:rsidP="00A93218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506E26">
              <w:rPr>
                <w:rFonts w:ascii="yandex-sans" w:hAnsi="yandex-sans"/>
                <w:sz w:val="20"/>
                <w:szCs w:val="20"/>
              </w:rPr>
              <w:t>Удельный вес налоговых льгот в сумме</w:t>
            </w:r>
            <w:r>
              <w:rPr>
                <w:rFonts w:ascii="yandex-sans" w:hAnsi="yandex-sans"/>
                <w:sz w:val="20"/>
                <w:szCs w:val="20"/>
              </w:rPr>
              <w:t xml:space="preserve"> начисленного налога</w:t>
            </w:r>
            <w:r w:rsidRPr="00506E26">
              <w:rPr>
                <w:rFonts w:ascii="yandex-sans" w:hAnsi="yandex-sans"/>
                <w:sz w:val="20"/>
                <w:szCs w:val="20"/>
              </w:rPr>
              <w:t>, всего</w:t>
            </w:r>
          </w:p>
          <w:p w:rsidR="00BB541E" w:rsidRPr="00506E26" w:rsidRDefault="00BB541E" w:rsidP="00A93218">
            <w:pPr>
              <w:shd w:val="clear" w:color="auto" w:fill="FFFFFF"/>
              <w:jc w:val="both"/>
              <w:rPr>
                <w:rFonts w:ascii="yandex-sans" w:hAnsi="yandex-sans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1E" w:rsidRPr="00506E26" w:rsidRDefault="00BB541E" w:rsidP="00A93218">
            <w:pPr>
              <w:jc w:val="center"/>
              <w:rPr>
                <w:sz w:val="20"/>
                <w:szCs w:val="20"/>
                <w:lang w:eastAsia="en-US"/>
              </w:rPr>
            </w:pPr>
            <w:r w:rsidRPr="00506E26">
              <w:rPr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1E" w:rsidRPr="00660A80" w:rsidRDefault="0051196D" w:rsidP="00206E4D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51196D">
              <w:rPr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51196D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51196D">
              <w:rPr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E" w:rsidRPr="00660A80" w:rsidRDefault="0051196D" w:rsidP="00A93218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51196D">
              <w:rPr>
                <w:sz w:val="20"/>
                <w:szCs w:val="20"/>
                <w:lang w:eastAsia="en-US"/>
              </w:rPr>
              <w:t>0,02</w:t>
            </w:r>
          </w:p>
        </w:tc>
      </w:tr>
    </w:tbl>
    <w:p w:rsidR="00206E4D" w:rsidRPr="00206E4D" w:rsidRDefault="00206E4D" w:rsidP="00A93218">
      <w:pPr>
        <w:shd w:val="clear" w:color="auto" w:fill="FFFFFF"/>
        <w:ind w:firstLine="708"/>
        <w:jc w:val="both"/>
      </w:pPr>
    </w:p>
    <w:p w:rsidR="00F758D5" w:rsidRDefault="00A93218" w:rsidP="00A93218">
      <w:pPr>
        <w:shd w:val="clear" w:color="auto" w:fill="FFFFFF"/>
        <w:ind w:firstLine="708"/>
        <w:jc w:val="both"/>
        <w:rPr>
          <w:rFonts w:ascii="yandex-sans" w:hAnsi="yandex-sans"/>
          <w:color w:val="000000"/>
        </w:rPr>
      </w:pPr>
      <w:r w:rsidRPr="00CD4E05">
        <w:rPr>
          <w:color w:val="000000"/>
        </w:rPr>
        <w:t xml:space="preserve">Оценка результативности налоговых расходов включает оценку бюджетной эффективности налоговых расходов. </w:t>
      </w:r>
      <w:r w:rsidRPr="00CD4E05">
        <w:rPr>
          <w:rFonts w:ascii="yandex-sans" w:hAnsi="yandex-sans"/>
          <w:color w:val="000000"/>
        </w:rP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</w:t>
      </w:r>
      <w:proofErr w:type="gramStart"/>
      <w:r w:rsidRPr="00CD4E05">
        <w:rPr>
          <w:rFonts w:ascii="yandex-sans" w:hAnsi="yandex-sans"/>
          <w:color w:val="000000"/>
        </w:rPr>
        <w:t>применения альтернативных механизмо</w:t>
      </w:r>
      <w:r w:rsidR="00B81053">
        <w:rPr>
          <w:rFonts w:ascii="yandex-sans" w:hAnsi="yandex-sans"/>
          <w:color w:val="000000"/>
        </w:rPr>
        <w:t>в достижения целей муниципальных</w:t>
      </w:r>
      <w:r w:rsidRPr="00CD4E05">
        <w:rPr>
          <w:rFonts w:ascii="yandex-sans" w:hAnsi="yandex-sans"/>
          <w:color w:val="000000"/>
        </w:rPr>
        <w:t xml:space="preserve"> программ</w:t>
      </w:r>
      <w:proofErr w:type="gramEnd"/>
      <w:r w:rsidR="00B81053">
        <w:rPr>
          <w:rFonts w:ascii="yandex-sans" w:hAnsi="yandex-sans"/>
          <w:color w:val="000000"/>
        </w:rPr>
        <w:t xml:space="preserve"> и целей социально-экономической поли</w:t>
      </w:r>
      <w:r w:rsidR="00003AD5">
        <w:rPr>
          <w:rFonts w:ascii="yandex-sans" w:hAnsi="yandex-sans"/>
          <w:color w:val="000000"/>
        </w:rPr>
        <w:t>тики муниципального образования</w:t>
      </w:r>
      <w:r w:rsidR="00F758D5">
        <w:rPr>
          <w:rFonts w:ascii="yandex-sans" w:hAnsi="yandex-sans"/>
          <w:color w:val="000000"/>
        </w:rPr>
        <w:t>.</w:t>
      </w:r>
    </w:p>
    <w:p w:rsidR="00A93218" w:rsidRDefault="00F758D5" w:rsidP="00A93218">
      <w:pPr>
        <w:shd w:val="clear" w:color="auto" w:fill="FFFFFF"/>
        <w:ind w:firstLine="708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В</w:t>
      </w:r>
      <w:r w:rsidR="00003AD5">
        <w:rPr>
          <w:rFonts w:ascii="yandex-sans" w:hAnsi="yandex-sans"/>
          <w:color w:val="000000"/>
        </w:rPr>
        <w:t xml:space="preserve"> отношении </w:t>
      </w:r>
      <w:r>
        <w:rPr>
          <w:rFonts w:ascii="yandex-sans" w:hAnsi="yandex-sans"/>
          <w:color w:val="000000"/>
        </w:rPr>
        <w:t>налоговых льгот, предоставленных</w:t>
      </w:r>
      <w:r w:rsidR="00003AD5">
        <w:rPr>
          <w:rFonts w:ascii="yandex-sans" w:hAnsi="yandex-sans"/>
          <w:color w:val="000000"/>
        </w:rPr>
        <w:t xml:space="preserve"> юридическим лицам</w:t>
      </w:r>
      <w:r>
        <w:rPr>
          <w:rFonts w:ascii="yandex-sans" w:hAnsi="yandex-sans"/>
          <w:color w:val="000000"/>
        </w:rPr>
        <w:t>, альтернативные механизмы  признаны неэффективными</w:t>
      </w:r>
      <w:r w:rsidR="006333F0">
        <w:rPr>
          <w:rFonts w:ascii="yandex-sans" w:hAnsi="yandex-sans"/>
          <w:color w:val="000000"/>
        </w:rPr>
        <w:t>,</w:t>
      </w:r>
      <w:r>
        <w:rPr>
          <w:rFonts w:ascii="yandex-sans" w:hAnsi="yandex-sans"/>
          <w:color w:val="000000"/>
        </w:rPr>
        <w:t xml:space="preserve"> </w:t>
      </w:r>
      <w:r w:rsidR="006333F0">
        <w:rPr>
          <w:rFonts w:ascii="yandex-sans" w:hAnsi="yandex-sans"/>
          <w:color w:val="000000"/>
        </w:rPr>
        <w:t>т.к. их применение влечет за собой увеличение  расходов местного бюджета.</w:t>
      </w:r>
    </w:p>
    <w:p w:rsidR="006333F0" w:rsidRDefault="006333F0" w:rsidP="00A93218">
      <w:pPr>
        <w:shd w:val="clear" w:color="auto" w:fill="FFFFFF"/>
        <w:ind w:firstLine="708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Сравнительный анализ в отношении физических лиц не проводился, в связи с отсутствием альтернативных механизмов.</w:t>
      </w:r>
    </w:p>
    <w:p w:rsidR="00A93218" w:rsidRDefault="00A93218" w:rsidP="00A93218">
      <w:pPr>
        <w:shd w:val="clear" w:color="auto" w:fill="FFFFFF"/>
        <w:ind w:firstLine="708"/>
        <w:jc w:val="both"/>
      </w:pPr>
      <w:r w:rsidRPr="002F3FFE">
        <w:t xml:space="preserve">Исходя из результатов проведенной оценки эффективности, </w:t>
      </w:r>
      <w:r w:rsidR="00B81053" w:rsidRPr="002F3FFE">
        <w:t>кура</w:t>
      </w:r>
      <w:r w:rsidR="008A363E">
        <w:t>торами налоговых расходов 8</w:t>
      </w:r>
      <w:r w:rsidR="00E93E54">
        <w:t xml:space="preserve"> из 8</w:t>
      </w:r>
      <w:r w:rsidR="00B81053" w:rsidRPr="002F3FFE">
        <w:t xml:space="preserve"> льгот были признаны эффективными и подлежат сохранению.</w:t>
      </w:r>
    </w:p>
    <w:p w:rsidR="00164765" w:rsidRPr="002F3FFE" w:rsidRDefault="00164765">
      <w:pPr>
        <w:shd w:val="clear" w:color="auto" w:fill="FFFFFF"/>
        <w:ind w:firstLine="708"/>
        <w:jc w:val="both"/>
      </w:pPr>
    </w:p>
    <w:sectPr w:rsidR="00164765" w:rsidRPr="002F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99"/>
    <w:rsid w:val="00003AD5"/>
    <w:rsid w:val="0003697A"/>
    <w:rsid w:val="000F0F11"/>
    <w:rsid w:val="0014259D"/>
    <w:rsid w:val="00164765"/>
    <w:rsid w:val="001B6A1C"/>
    <w:rsid w:val="00206E4D"/>
    <w:rsid w:val="0024339B"/>
    <w:rsid w:val="002F0935"/>
    <w:rsid w:val="002F3FFE"/>
    <w:rsid w:val="00374711"/>
    <w:rsid w:val="004202D3"/>
    <w:rsid w:val="004438F9"/>
    <w:rsid w:val="004642B7"/>
    <w:rsid w:val="004A1CCD"/>
    <w:rsid w:val="0051196D"/>
    <w:rsid w:val="00517C58"/>
    <w:rsid w:val="00546FCD"/>
    <w:rsid w:val="00560F61"/>
    <w:rsid w:val="006333F0"/>
    <w:rsid w:val="006367C0"/>
    <w:rsid w:val="00660A80"/>
    <w:rsid w:val="00664ACE"/>
    <w:rsid w:val="006E3F8C"/>
    <w:rsid w:val="006F0B18"/>
    <w:rsid w:val="006F443E"/>
    <w:rsid w:val="007314B7"/>
    <w:rsid w:val="00797A8C"/>
    <w:rsid w:val="007E06E2"/>
    <w:rsid w:val="00827F84"/>
    <w:rsid w:val="008A363E"/>
    <w:rsid w:val="008A6AD8"/>
    <w:rsid w:val="00906A99"/>
    <w:rsid w:val="00951AAF"/>
    <w:rsid w:val="009778D0"/>
    <w:rsid w:val="00997069"/>
    <w:rsid w:val="009D3099"/>
    <w:rsid w:val="009E2BB6"/>
    <w:rsid w:val="00A00B2B"/>
    <w:rsid w:val="00A02B0E"/>
    <w:rsid w:val="00A048B5"/>
    <w:rsid w:val="00A434F6"/>
    <w:rsid w:val="00A93218"/>
    <w:rsid w:val="00B170D2"/>
    <w:rsid w:val="00B6109A"/>
    <w:rsid w:val="00B81053"/>
    <w:rsid w:val="00BB541E"/>
    <w:rsid w:val="00BD04D3"/>
    <w:rsid w:val="00C36372"/>
    <w:rsid w:val="00C73A0D"/>
    <w:rsid w:val="00C76E87"/>
    <w:rsid w:val="00C94694"/>
    <w:rsid w:val="00D01965"/>
    <w:rsid w:val="00D171F2"/>
    <w:rsid w:val="00DE444B"/>
    <w:rsid w:val="00E07BE6"/>
    <w:rsid w:val="00E342F7"/>
    <w:rsid w:val="00E357E8"/>
    <w:rsid w:val="00E42B71"/>
    <w:rsid w:val="00E44D04"/>
    <w:rsid w:val="00E93E54"/>
    <w:rsid w:val="00F049A7"/>
    <w:rsid w:val="00F06C89"/>
    <w:rsid w:val="00F10408"/>
    <w:rsid w:val="00F65F4E"/>
    <w:rsid w:val="00F74E4C"/>
    <w:rsid w:val="00F758D5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Вед-сец-экон</dc:creator>
  <cp:lastModifiedBy>ГлавухФин</cp:lastModifiedBy>
  <cp:revision>29</cp:revision>
  <cp:lastPrinted>2026-04-29T08:04:00Z</cp:lastPrinted>
  <dcterms:created xsi:type="dcterms:W3CDTF">2023-06-06T13:15:00Z</dcterms:created>
  <dcterms:modified xsi:type="dcterms:W3CDTF">2026-05-20T08:57:00Z</dcterms:modified>
</cp:coreProperties>
</file>