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Layout w:type="fixed"/>
      </w:tblPr>
      <w:tblGrid>
        <w:gridCol w:w="591"/>
        <w:gridCol w:w="3570"/>
        <w:gridCol w:w="2200"/>
        <w:gridCol w:w="1929"/>
        <w:gridCol w:w="1559"/>
        <w:gridCol w:w="1766"/>
        <w:gridCol w:w="1766"/>
        <w:gridCol w:w="1766"/>
      </w:tblGrid>
      <w:tr>
        <w:trPr>
          <w:trHeight w:hRule="atLeast" w:val="312"/>
        </w:trPr>
        <w:tc>
          <w:tcPr>
            <w:tcW w:type="dxa" w:w="591"/>
          </w:tcPr>
          <w:p/>
        </w:tc>
        <w:tc>
          <w:tcPr>
            <w:tcW w:type="dxa" w:w="3570"/>
          </w:tcPr>
          <w:p/>
        </w:tc>
        <w:tc>
          <w:tcPr>
            <w:tcW w:type="dxa" w:w="2200"/>
          </w:tcPr>
          <w:p/>
        </w:tc>
        <w:tc>
          <w:tcPr>
            <w:tcW w:type="dxa" w:w="1929"/>
          </w:tcPr>
          <w:p/>
        </w:tc>
        <w:tc>
          <w:tcPr>
            <w:tcW w:type="dxa" w:w="1559"/>
          </w:tcPr>
          <w:p/>
        </w:tc>
        <w:tc>
          <w:tcPr>
            <w:tcW w:type="dxa" w:w="1766"/>
          </w:tcPr>
          <w:p/>
        </w:tc>
        <w:tc>
          <w:tcPr>
            <w:tcW w:type="dxa" w:w="1766"/>
          </w:tcPr>
          <w:p/>
        </w:tc>
        <w:tc>
          <w:tcPr>
            <w:tcW w:type="dxa" w:w="1766"/>
          </w:tcPr>
          <w:p/>
        </w:tc>
      </w:tr>
      <w:tr>
        <w:trPr>
          <w:trHeight w:hRule="atLeast" w:val="312"/>
        </w:trPr>
        <w:tc>
          <w:tcPr>
            <w:tcW w:type="dxa" w:w="15147"/>
            <w:gridSpan w:val="8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Раздел 6  «Сведения о финансировании структурных элементов муниципальной программы»</w:t>
            </w:r>
          </w:p>
        </w:tc>
      </w:tr>
      <w:tr>
        <w:trPr>
          <w:trHeight w:hRule="exact" w:val="384"/>
        </w:trPr>
        <w:tc>
          <w:tcPr>
            <w:tcW w:type="dxa" w:w="591"/>
          </w:tcPr>
          <w:p/>
        </w:tc>
        <w:tc>
          <w:tcPr>
            <w:tcW w:type="dxa" w:w="3570"/>
          </w:tcPr>
          <w:p/>
        </w:tc>
        <w:tc>
          <w:tcPr>
            <w:tcW w:type="dxa" w:w="2200"/>
          </w:tcPr>
          <w:p/>
        </w:tc>
        <w:tc>
          <w:tcPr>
            <w:tcW w:type="dxa" w:w="1929"/>
          </w:tcPr>
          <w:p/>
        </w:tc>
        <w:tc>
          <w:tcPr>
            <w:tcW w:type="dxa" w:w="1559"/>
          </w:tcPr>
          <w:p/>
        </w:tc>
        <w:tc>
          <w:tcPr>
            <w:tcW w:type="dxa" w:w="5298"/>
            <w:gridSpan w:val="3"/>
            <w:vAlign w:val="top"/>
          </w:tcPr>
          <w:p w14:paraId="03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2"/>
              </w:rPr>
            </w:pPr>
          </w:p>
        </w:tc>
      </w:tr>
      <w:tr>
        <w:trPr>
          <w:trHeight w:hRule="atLeast" w:val="312"/>
        </w:trPr>
        <w:tc>
          <w:tcPr>
            <w:tcW w:type="dxa" w:w="15147"/>
            <w:gridSpan w:val="8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СВЕДЕНИЯ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о финансировании структурных элементов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15147"/>
            <w:gridSpan w:val="8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  <w:u w:val="single"/>
              </w:rPr>
              <w:t>«Развитие культуры и молодежной политики в муниципальном образовании «город Десногорск» Смоленской области»</w:t>
            </w:r>
          </w:p>
        </w:tc>
      </w:tr>
      <w:tr>
        <w:trPr>
          <w:trHeight w:hRule="atLeast" w:val="312"/>
        </w:trPr>
        <w:tc>
          <w:tcPr>
            <w:tcW w:type="dxa" w:w="15147"/>
            <w:gridSpan w:val="8"/>
            <w:vAlign w:val="top"/>
          </w:tcPr>
          <w:p w14:paraId="0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(наименование муниципальной программы)</w:t>
            </w:r>
          </w:p>
        </w:tc>
      </w:tr>
      <w:tr>
        <w:trPr>
          <w:trHeight w:hRule="atLeast" w:val="312"/>
        </w:trPr>
        <w:tc>
          <w:tcPr>
            <w:tcW w:type="dxa" w:w="591"/>
          </w:tcPr>
          <w:p/>
        </w:tc>
        <w:tc>
          <w:tcPr>
            <w:tcW w:type="dxa" w:w="3570"/>
          </w:tcPr>
          <w:p/>
        </w:tc>
        <w:tc>
          <w:tcPr>
            <w:tcW w:type="dxa" w:w="2200"/>
          </w:tcPr>
          <w:p/>
        </w:tc>
        <w:tc>
          <w:tcPr>
            <w:tcW w:type="dxa" w:w="1929"/>
          </w:tcPr>
          <w:p/>
        </w:tc>
        <w:tc>
          <w:tcPr>
            <w:tcW w:type="dxa" w:w="1559"/>
          </w:tcPr>
          <w:p/>
        </w:tc>
        <w:tc>
          <w:tcPr>
            <w:tcW w:type="dxa" w:w="1766"/>
          </w:tcPr>
          <w:p/>
        </w:tc>
        <w:tc>
          <w:tcPr>
            <w:tcW w:type="dxa" w:w="1766"/>
          </w:tcPr>
          <w:p/>
        </w:tc>
        <w:tc>
          <w:tcPr>
            <w:tcW w:type="dxa" w:w="1766"/>
          </w:tcPr>
          <w:p/>
        </w:tc>
      </w:tr>
      <w:tr>
        <w:trPr>
          <w:trHeight w:hRule="atLeast" w:val="312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№ п/п</w:t>
            </w:r>
          </w:p>
        </w:tc>
        <w:tc>
          <w:tcPr>
            <w:tcW w:type="dxa" w:w="35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Наименование</w:t>
            </w:r>
          </w:p>
        </w:tc>
        <w:tc>
          <w:tcPr>
            <w:tcW w:type="dxa" w:w="2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Участник муниципальной программы </w:t>
            </w:r>
          </w:p>
        </w:tc>
        <w:tc>
          <w:tcPr>
            <w:tcW w:type="dxa" w:w="19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Источник финансового обеспечения (расшифровать)</w:t>
            </w:r>
          </w:p>
        </w:tc>
        <w:tc>
          <w:tcPr>
            <w:tcW w:type="dxa" w:w="685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>
        <w:trPr>
          <w:trHeight w:hRule="atLeast" w:val="936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всего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очередной финансовый год 2023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1-й год планово-го периода 2024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2-й год планово-го периода 2025</w:t>
            </w:r>
          </w:p>
        </w:tc>
      </w:tr>
      <w:tr>
        <w:trPr>
          <w:trHeight w:hRule="atLeast" w:val="312"/>
        </w:trPr>
        <w:tc>
          <w:tcPr>
            <w:tcW w:type="dxa" w:w="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</w:t>
            </w:r>
          </w:p>
        </w:tc>
      </w:tr>
      <w:tr>
        <w:trPr>
          <w:trHeight w:hRule="atLeast" w:val="624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Региональный проект "Техническое оснащение муниципальных музеев"</w:t>
            </w:r>
          </w:p>
        </w:tc>
        <w:tc>
          <w:tcPr>
            <w:tcW w:type="dxa" w:w="2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МБУК «Десногорский ИКМ»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5 764,30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5 764,30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0,00</w:t>
            </w:r>
          </w:p>
        </w:tc>
      </w:tr>
      <w:tr>
        <w:trPr>
          <w:trHeight w:hRule="atLeast" w:val="624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Результат 1 Техническое оснащение муниципальных музеев</w:t>
            </w:r>
          </w:p>
        </w:tc>
        <w:tc>
          <w:tcPr>
            <w:tcW w:type="dxa" w:w="2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303,40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303,40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0,00</w:t>
            </w:r>
          </w:p>
        </w:tc>
      </w:tr>
      <w:tr>
        <w:trPr>
          <w:trHeight w:hRule="atLeast" w:val="624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1.1. Техническое оснащение муниципальных музеев</w:t>
            </w:r>
          </w:p>
        </w:tc>
        <w:tc>
          <w:tcPr>
            <w:tcW w:type="dxa" w:w="2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61,30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61,30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0,00</w:t>
            </w:r>
          </w:p>
        </w:tc>
      </w:tr>
      <w:tr>
        <w:trPr>
          <w:trHeight w:hRule="atLeast" w:val="324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Итого по региональному проекту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6 129,00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6 129,00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0,00</w:t>
            </w:r>
          </w:p>
        </w:tc>
      </w:tr>
      <w:tr>
        <w:trPr>
          <w:trHeight w:hRule="atLeast" w:val="624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Ведомственный проект «Сохранение культурного и исторического наследия»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</w:tr>
      <w:tr>
        <w:trPr>
          <w:trHeight w:hRule="atLeast" w:val="936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Результат 1 Достигнуто 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</w:tr>
      <w:tr>
        <w:trPr>
          <w:trHeight w:hRule="atLeast" w:val="624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1.1. Государственная поддержка отрасли культуры (комплектование книжных фондов библиотек)</w:t>
            </w:r>
          </w:p>
        </w:tc>
        <w:tc>
          <w:tcPr>
            <w:tcW w:type="dxa" w:w="2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МБУ «Десногорская библиотека»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173,1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54,7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54,7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63,7</w:t>
            </w:r>
          </w:p>
        </w:tc>
      </w:tr>
      <w:tr>
        <w:trPr>
          <w:trHeight w:hRule="atLeast" w:val="624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35,5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13,1</w:t>
            </w:r>
          </w:p>
        </w:tc>
      </w:tr>
      <w:tr>
        <w:trPr>
          <w:trHeight w:hRule="atLeast" w:val="624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0,8</w:t>
            </w:r>
          </w:p>
        </w:tc>
      </w:tr>
      <w:tr>
        <w:trPr>
          <w:trHeight w:hRule="atLeast" w:val="324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Итого по ведомственному проекту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210,6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66,5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66,5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77,6</w:t>
            </w:r>
          </w:p>
        </w:tc>
      </w:tr>
      <w:tr>
        <w:trPr>
          <w:trHeight w:hRule="atLeast" w:val="624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3. 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Комплекс процессных мероприятий 1. «Реализация молодежной политики»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D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E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F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0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1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2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</w:tr>
      <w:tr>
        <w:trPr>
          <w:trHeight w:hRule="atLeast" w:val="936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 Организация и проведение мероприятий в области молодёжной политики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«ККС и МП» Администрации 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г. Десногорска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15,0</w:t>
            </w:r>
          </w:p>
        </w:tc>
      </w:tr>
      <w:tr>
        <w:trPr>
          <w:trHeight w:hRule="atLeast" w:val="312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45,0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15,0</w:t>
            </w:r>
          </w:p>
        </w:tc>
      </w:tr>
      <w:tr>
        <w:trPr>
          <w:trHeight w:hRule="atLeast" w:val="624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Комплекс процессных мероприятий 2. «Библиотечное обслуживание населения»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8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9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</w:tr>
      <w:tr>
        <w:trPr>
          <w:trHeight w:hRule="atLeast" w:val="936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МБУ «Десногорская библиотека»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33 462,6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12 403,9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9 704,2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11 354,5</w:t>
            </w:r>
          </w:p>
        </w:tc>
      </w:tr>
      <w:tr>
        <w:trPr>
          <w:trHeight w:hRule="atLeast" w:val="624"/>
        </w:trPr>
        <w:tc>
          <w:tcPr>
            <w:tcW w:type="dxa" w:w="591"/>
            <w:tcBorders>
              <w:top w:sz="4" w:val="nil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4.1.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2 Укрепление материально-технической базы муниципальных учреждений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140,0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140,0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A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33 602,6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12 543,9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9 704,2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11 354,5</w:t>
            </w:r>
          </w:p>
        </w:tc>
      </w:tr>
      <w:tr>
        <w:trPr>
          <w:trHeight w:hRule="atLeast" w:val="624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Комплекс процессных мероприятий 3. «Развитие культурно-досуговой деятельности»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6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7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</w:tr>
      <w:tr>
        <w:trPr>
          <w:trHeight w:hRule="atLeast" w:val="624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МБУ «ЦК и МП» </w:t>
            </w:r>
          </w:p>
          <w:p w14:paraId="9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г. Десногорска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44 936,0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16 579,7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12 900,3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15 456,0</w:t>
            </w:r>
          </w:p>
        </w:tc>
      </w:tr>
      <w:tr>
        <w:trPr>
          <w:trHeight w:hRule="atLeast" w:val="312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2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44 936,0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16 579,7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12 900,3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15 456,0</w:t>
            </w:r>
          </w:p>
        </w:tc>
      </w:tr>
      <w:tr>
        <w:trPr>
          <w:trHeight w:hRule="atLeast" w:val="624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6.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Комплекс процессных мероприятий 4. «Развитие музейной деятельности»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D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E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</w:tr>
      <w:tr>
        <w:trPr>
          <w:trHeight w:hRule="atLeast" w:val="936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МБУК «Десногорский ИКМ»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12 513,2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4 780,4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3 621,6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4 111,2</w:t>
            </w:r>
          </w:p>
        </w:tc>
      </w:tr>
      <w:tr>
        <w:trPr>
          <w:trHeight w:hRule="atLeast" w:val="312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7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12 513,2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4 780,4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3 621,6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4 111,2</w:t>
            </w:r>
          </w:p>
        </w:tc>
      </w:tr>
      <w:tr>
        <w:trPr>
          <w:trHeight w:hRule="atLeast" w:val="936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F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2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3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4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</w:tr>
      <w:tr>
        <w:trPr>
          <w:trHeight w:hRule="atLeast" w:val="936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«ККС и МП» Администрации </w:t>
            </w:r>
          </w:p>
          <w:p w14:paraId="C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г. Десногорска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7 122,0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2 422,1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2 307,0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2 392,9</w:t>
            </w:r>
          </w:p>
        </w:tc>
      </w:tr>
      <w:tr>
        <w:trPr>
          <w:trHeight w:hRule="atLeast" w:val="312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7 122,0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2 422,1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2 307,0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2 392,9</w:t>
            </w:r>
          </w:p>
        </w:tc>
      </w:tr>
      <w:tr>
        <w:trPr>
          <w:trHeight w:hRule="atLeast" w:val="624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8.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Комплекс процессных мероприятий 6. «Культурно – массовые мероприятия»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9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</w:tr>
      <w:tr>
        <w:trPr>
          <w:trHeight w:hRule="atLeast" w:val="936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C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 Организация и проведение мероприятий культурно-массового характера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«ККС и МП» Администрации </w:t>
            </w:r>
          </w:p>
          <w:p w14:paraId="D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г. Десногорска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105,0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35,0</w:t>
            </w:r>
          </w:p>
        </w:tc>
      </w:tr>
      <w:tr>
        <w:trPr>
          <w:trHeight w:hRule="atLeast" w:val="312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00000">
            <w:pPr>
              <w:ind/>
              <w:jc w:val="left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105,0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35,0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35,0</w:t>
            </w:r>
          </w:p>
        </w:tc>
      </w:tr>
      <w:tr>
        <w:trPr>
          <w:trHeight w:hRule="atLeast" w:val="936"/>
        </w:trPr>
        <w:tc>
          <w:tcPr>
            <w:tcW w:type="dxa" w:w="5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9.</w:t>
            </w:r>
          </w:p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Комплекс процессных мероприятий 7. «Капитальный и текущий ремонт зданий и сооружений»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</w:tr>
      <w:tr>
        <w:trPr>
          <w:trHeight w:hRule="atLeast" w:val="624"/>
        </w:trPr>
        <w:tc>
          <w:tcPr>
            <w:tcW w:type="dxa" w:w="5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3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Мероприятие 1 Расходы на укрепление материально-технической базы муниципальных учреждений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МБУ «ЦК и МП» </w:t>
            </w:r>
          </w:p>
          <w:p w14:paraId="F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г. Десногорска</w:t>
            </w: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1 655,1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1 655,1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41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ind/>
              <w:jc w:val="left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type="dxa" w:w="2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1 655,1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1 655,1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829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10000">
            <w:pPr>
              <w:ind/>
              <w:jc w:val="left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Всего по муниципальной программе, в том числе: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106 318,5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44 226,7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28 649,6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33 442,2</w:t>
            </w:r>
          </w:p>
        </w:tc>
      </w:tr>
      <w:tr>
        <w:trPr>
          <w:trHeight w:hRule="atLeast" w:val="312"/>
        </w:trPr>
        <w:tc>
          <w:tcPr>
            <w:tcW w:type="dxa" w:w="829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10000">
            <w:pPr>
              <w:ind/>
              <w:jc w:val="left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5 937,4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5 819,0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54,7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63,7</w:t>
            </w:r>
          </w:p>
        </w:tc>
      </w:tr>
      <w:tr>
        <w:trPr>
          <w:trHeight w:hRule="atLeast" w:val="312"/>
        </w:trPr>
        <w:tc>
          <w:tcPr>
            <w:tcW w:type="dxa" w:w="829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10000">
            <w:pPr>
              <w:ind/>
              <w:jc w:val="left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338,9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314,6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11,2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13,1</w:t>
            </w:r>
          </w:p>
        </w:tc>
      </w:tr>
      <w:tr>
        <w:trPr>
          <w:trHeight w:hRule="atLeast" w:val="312"/>
        </w:trPr>
        <w:tc>
          <w:tcPr>
            <w:tcW w:type="dxa" w:w="829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10000">
            <w:pPr>
              <w:ind/>
              <w:jc w:val="left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местные бюджеты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100 042,2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38 093,1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28 583,7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33 365,4</w:t>
            </w:r>
          </w:p>
        </w:tc>
      </w:tr>
      <w:tr>
        <w:trPr>
          <w:trHeight w:hRule="atLeast" w:val="312"/>
        </w:trPr>
        <w:tc>
          <w:tcPr>
            <w:tcW w:type="dxa" w:w="829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10000">
            <w:pPr>
              <w:ind/>
              <w:jc w:val="left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</w:t>
            </w:r>
          </w:p>
        </w:tc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0,0</w:t>
            </w:r>
          </w:p>
        </w:tc>
      </w:tr>
    </w:tbl>
    <w:p w14:paraId="1B010000"/>
    <w:sectPr>
      <w:headerReference r:id="rId1" w:type="default"/>
      <w:pgSz w:h="11908" w:orient="landscape" w:w="16848"/>
      <w:pgMar w:bottom="2" w:left="850" w:right="850" w:top="850"/>
      <w:pgNumType w:start="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2024-03-28T12:28:34Z</dcterms:modified>
</cp:coreProperties>
</file>