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C5" w:rsidRPr="00AB02C5" w:rsidRDefault="00AB02C5" w:rsidP="00A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</w:t>
      </w:r>
    </w:p>
    <w:p w:rsidR="00AB02C5" w:rsidRPr="00AB02C5" w:rsidRDefault="001D5294" w:rsidP="00AB0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02C5"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26.02.2019</w:t>
      </w:r>
      <w:r w:rsidR="00AB02C5" w:rsidRPr="0052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</w:p>
    <w:p w:rsidR="00AB02C5" w:rsidRPr="00AB02C5" w:rsidRDefault="00AB02C5" w:rsidP="00AB0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2C5">
        <w:rPr>
          <w:rFonts w:ascii="Times New Roman" w:eastAsia="Calibri" w:hAnsi="Times New Roman" w:cs="Times New Roman"/>
          <w:b/>
          <w:sz w:val="28"/>
          <w:szCs w:val="28"/>
        </w:rPr>
        <w:t>МУНИЦИПАЛЬНАЯ  ПРОГРАММА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2C5">
        <w:rPr>
          <w:rFonts w:ascii="Times New Roman" w:eastAsia="Calibri" w:hAnsi="Times New Roman" w:cs="Times New Roman"/>
          <w:b/>
          <w:sz w:val="28"/>
          <w:szCs w:val="28"/>
        </w:rPr>
        <w:t xml:space="preserve">«Управление имуществом и земельными ресурсами </w:t>
      </w:r>
      <w:proofErr w:type="gramStart"/>
      <w:r w:rsidRPr="00AB02C5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2C5">
        <w:rPr>
          <w:rFonts w:ascii="Times New Roman" w:eastAsia="Calibri" w:hAnsi="Times New Roman" w:cs="Times New Roman"/>
          <w:b/>
          <w:sz w:val="28"/>
          <w:szCs w:val="28"/>
        </w:rPr>
        <w:t>образования «город Десногорск» Смоленской области»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AB02C5" w:rsidRPr="00AB02C5" w:rsidRDefault="00AB02C5" w:rsidP="00AB0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«Управление имуществом и земельными ресурсами </w:t>
      </w:r>
      <w:proofErr w:type="gramStart"/>
      <w:r w:rsidRPr="00AB02C5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</w:p>
    <w:p w:rsidR="00AB02C5" w:rsidRPr="00AB02C5" w:rsidRDefault="00AB02C5" w:rsidP="00AB0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«город Десногорск» Смоленской области» 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059"/>
      </w:tblGrid>
      <w:tr w:rsidR="00AB02C5" w:rsidRPr="00AB02C5" w:rsidTr="00B306D7">
        <w:trPr>
          <w:trHeight w:val="1063"/>
        </w:trPr>
        <w:tc>
          <w:tcPr>
            <w:tcW w:w="3085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AB02C5" w:rsidRPr="00AB02C5" w:rsidTr="00B306D7">
        <w:trPr>
          <w:trHeight w:val="690"/>
        </w:trPr>
        <w:tc>
          <w:tcPr>
            <w:tcW w:w="3085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7088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2C5" w:rsidRPr="00AB02C5" w:rsidTr="00B306D7">
        <w:tc>
          <w:tcPr>
            <w:tcW w:w="3085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7088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специализированные организации, осуществляющие деятельность по технической инвентаризации и кадастровым работам </w:t>
            </w:r>
          </w:p>
        </w:tc>
      </w:tr>
      <w:tr w:rsidR="00AB02C5" w:rsidRPr="00AB02C5" w:rsidTr="00B306D7">
        <w:tc>
          <w:tcPr>
            <w:tcW w:w="3085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7088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AB02C5" w:rsidRPr="00AB02C5" w:rsidTr="00B306D7">
        <w:tc>
          <w:tcPr>
            <w:tcW w:w="3085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</w:tr>
      <w:tr w:rsidR="00AB02C5" w:rsidRPr="00AB02C5" w:rsidTr="00B306D7">
        <w:tc>
          <w:tcPr>
            <w:tcW w:w="3085" w:type="dxa"/>
          </w:tcPr>
          <w:p w:rsidR="00AB02C5" w:rsidRPr="00AB02C5" w:rsidRDefault="00AB02C5" w:rsidP="00AB0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7088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кадастровых работ в отношении прочих  земельных участков;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 ремонт муниципального жилищного фонда.</w:t>
            </w:r>
          </w:p>
        </w:tc>
      </w:tr>
      <w:tr w:rsidR="00AB02C5" w:rsidRPr="00AB02C5" w:rsidTr="00B306D7">
        <w:tc>
          <w:tcPr>
            <w:tcW w:w="3085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ассигнований муниципальной программы (по годам реализации в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разрезе источников финансирования)</w:t>
            </w:r>
          </w:p>
        </w:tc>
        <w:tc>
          <w:tcPr>
            <w:tcW w:w="7088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Общий объем ассигнований муниципальной программы составляет 64 009,4 тыс. руб. за счет средств местного бюджета, в том числе по годам реализации: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 год – 4 737,4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2015 год – 8 576,6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11 058,5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2017 год – 8 075,3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9 209,0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7 216,3 тыс. руб.;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7 498,4 тыс. руб.; 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7 637,9 тыс. руб.</w:t>
            </w:r>
          </w:p>
        </w:tc>
      </w:tr>
      <w:tr w:rsidR="00AB02C5" w:rsidRPr="00AB02C5" w:rsidTr="00B306D7">
        <w:tc>
          <w:tcPr>
            <w:tcW w:w="3085" w:type="dxa"/>
          </w:tcPr>
          <w:p w:rsidR="00AB02C5" w:rsidRPr="00AB02C5" w:rsidRDefault="00AB02C5" w:rsidP="00AB02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муниципальной программы позволит: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осуществить регистрацию  права  муниципальной собственности объектов недвижимости муниципального образования «город Десногорск» Смоленской области;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получить достоверную информацию об объектах недвижимости для внесения его в реестр муниципальной собственности муниципального образования;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увеличить эффективность управления муниципальной собственностью муниципального образования «город Десногорск» Смоленской области (имуществом и земельными ресурсами);</w:t>
            </w:r>
          </w:p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B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взносов в целях капитального ремонта государственного (муниципального) имущества.</w:t>
            </w:r>
          </w:p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2C5" w:rsidRPr="00AB02C5" w:rsidRDefault="00AB02C5" w:rsidP="00AB0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1. Общая характеристика социально-экономической сферы реализации муниципальной программы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Особенность муниципальной  собственности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муниципальной собственностью является важнейшим фактором развития не только муниципального образования «город Десногорск» Смоленской области, но и в целом всего региона. 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муниципальной собственностью заключается в эффективном и рациональном использовании, распоряжении, владении имуществом и земельными ресурсами.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Комитет имущественных и земельных отношений Администрации муниципального образования «город Десногорск» Смоленской области является структурным подразделением Администрации муниципального образования «город Десногорск» Смоленской области - исполнительно-распорядительного органа местного самоуправления, осуществляющего полномочия и функции собственника  муниципального имущества.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Реализация мероприятий в рамках муниципальной программы «Управление имуществом и земельными ресурсами муниципального образования «город Десногорск» Смоленской области»  позволит: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повысить эффективность управления муниципальной собственностью (имуществом и земельными ресурсами);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получить достоверную информацию об объектах недвижимости для внесения в реестр муниципальной собственности муниципального образования «город Десногорск» 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своевременно осуществлять государственную регистрацию права муниципальной собственности муниципального образования «город Десногорск»  Смоленской области на объекты недвижимости и земельные участки, а также осуществлять другие процедуры в рамках своих полномочий в сфере земельных отношений.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2. Цели, целевые показатели, описание ожидаемых конечных результатов, сроков и этапов реализации муниципальной программы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Цель реализации муниципальной программы состоит в эффективном и рациональном использовании имущества и земельных ресурсов муниципального образования «город Десногорск» Смоленской области.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муниципальной программы разработан перечень мероприятий, осуществление которых характеризуется целевыми показателями. 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Целевыми показателями реализации муниципальной программы являются: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выполнение кадастровых работ в отношении прочих  земельных участков;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капитальный ремонт муниципального жилищного фонда.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Целевые показатели представляют собой количественно выраженные величины, отражающие специфику развития сферы управления муниципальной собственностью муниципального образования «город Десногорск»  Смоленской области. Обобщенные сведения о целевых показателях реализации муниципальной программы отражены в Приложении № 1 к программе.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В результате осуществления всех основных мероприятий муниципальной программы ожидается достижение следующих конечных результатов: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осуществить регистрацию  права  муниципальной собственности объектов недвижимости муниципального образования «город Десногорск» 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получить достоверную информацию об объектах недвижимости для внесения его в реестр муниципальной собственности муниципального образования;</w:t>
      </w:r>
    </w:p>
    <w:p w:rsidR="00AB02C5" w:rsidRPr="00AB02C5" w:rsidRDefault="00AB02C5" w:rsidP="00AB0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увеличить эффективность управления муниципальной собственностью муниципального образования «город Десногорск» Смоленской области (имуществом и земельными ресурсами).</w:t>
      </w:r>
    </w:p>
    <w:p w:rsidR="00AB02C5" w:rsidRPr="00AB02C5" w:rsidRDefault="00AB02C5" w:rsidP="00AB02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A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взносов в целях капитального ремонта государственного (муниципального) имущества.</w:t>
      </w:r>
    </w:p>
    <w:p w:rsidR="00AB02C5" w:rsidRPr="00AB02C5" w:rsidRDefault="00AB02C5" w:rsidP="00AB02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ab/>
      </w:r>
    </w:p>
    <w:p w:rsidR="00AB02C5" w:rsidRPr="00AB02C5" w:rsidRDefault="00AB02C5" w:rsidP="00AB02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3. Обобщенная характеристика основных мероприятий, входящих  в муниципальную программу, подпрограмму муниципальной программы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Муниципальная программа включает в себя реализацию следующих основных мероприятий: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1 </w:t>
      </w:r>
      <w:r w:rsidRPr="00AB02C5">
        <w:rPr>
          <w:rFonts w:ascii="Times New Roman" w:eastAsia="Calibri" w:hAnsi="Times New Roman" w:cs="Times New Roman"/>
          <w:sz w:val="24"/>
          <w:szCs w:val="24"/>
        </w:rPr>
        <w:t>«Признание прав и регулирование отношений по муниципальной собственности» включает в себя проведение технической инвентаризации и оформления кадастровых паспортов, справок, планов в отношении объектов муниципальной собственности.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Механизм реализации мероприятия заключается: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проведении мониторинга и составлении перечня зданий, помещений и сооружений, находящихся в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Смоленской области, по которым необходимо оформить техническую документацию в целях эффективного управления и распоряжения объектами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в регистрации права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Смоленской области на объекты недвижимости и внесение изменений в государственный кадастр недвижимости и ЕГРП;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осуществлении мероприятий по передаче в аренду 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муниципального образования «город Десногорск»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Смоленской области в соответствии с требованиями действующего законодательства;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в обследовании технического состояния объектов недвижимости с целью выявления изменений, произошедших после первичной технической инвентаризации.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реализации плана приватизации на очередной финансовый год.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2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«Управление земельными ресурсами» включает в себя: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B02C5">
        <w:rPr>
          <w:rFonts w:ascii="Times New Roman" w:eastAsia="Calibri" w:hAnsi="Times New Roman" w:cs="Times New Roman"/>
          <w:sz w:val="24"/>
          <w:szCs w:val="24"/>
        </w:rPr>
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 охранных зон на эти земельные участки;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выполнение кадастровых работ в отношении прочих  земельных участков.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ab/>
        <w:t>Механизм реализации мероприятия заключается в подготовке: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1) перечня подлежащих государственной регистрации земельных участков, в отношении которых необходимо выполнение кадастровых работ;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2) документации для проведения торгов, запроса котировок цен с целью заключить муниципальные контракты для нужд муниципального образования «город Десногорск» Смоленской области, предметом которых являются кадастровые работы в отношении земельных участков;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3) документации на земельные участки, подлежащие продаже;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4) предусмотренных законодательством Российской Федерации документов, необходимых для проведения мероприятий  по изъятию земельных участков для муниципальных нужд муниципального образования «город Десногорск» Смоленской области и оформления данных земельных участков в муниципальную собственность муниципального образования «город Десногорск» Смоленской области;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5) работ по заключению договоров купли-продажи земельных участков из категории земель населенных пунктов.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3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«Обеспечение обслуживания, содержания и распоряжения объектами Казны» включает в себя: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проведение независимым оценщиком оценки рыночной стоимости объектов гражданских прав и анализ достоверности величины их рыночной стоимости;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содержание имущества Казны.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мероприятие 4 </w:t>
      </w:r>
      <w:r w:rsidRPr="00AB02C5">
        <w:rPr>
          <w:rFonts w:ascii="Times New Roman" w:eastAsia="Calibri" w:hAnsi="Times New Roman" w:cs="Times New Roman"/>
          <w:sz w:val="24"/>
          <w:szCs w:val="24"/>
        </w:rPr>
        <w:t>«Обеспечение капитального ремонта муниципального жилищного фонда» включает в себя: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ведение реестра объектов муниципального неприватизированного жилого фонда;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проведение приватизации муниципального неприватизированного жилого фонда;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работа с региональным оператором Смоленской области по перечислению ежемесячных взносов в фонд капитального ремонта общего имущества многоквартирных домов в отношении муниципального неприватизированного жилого фонда;</w:t>
      </w: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 представлен в Приложении № 2 к программе.</w:t>
      </w:r>
    </w:p>
    <w:p w:rsidR="00AB02C5" w:rsidRPr="00AB02C5" w:rsidRDefault="00AB02C5" w:rsidP="00AB02C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обеспечивающей подпрограммы</w:t>
      </w: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«Обеспечение организационных условий для реализации муниципальной программы».</w:t>
      </w:r>
    </w:p>
    <w:p w:rsidR="00AB02C5" w:rsidRPr="00AB02C5" w:rsidRDefault="00AB02C5" w:rsidP="00AB02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ind w:right="-1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AB02C5" w:rsidRPr="00AB02C5" w:rsidRDefault="00AB02C5" w:rsidP="00AB02C5">
      <w:pPr>
        <w:ind w:right="-1" w:firstLine="708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Общий объем ассигнований муниципальной программы составляет 64 009,4 тыс. руб. Финансирование муниципальной программы осуществляется из средств местного бюджета в следующих объемах: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465"/>
        <w:gridCol w:w="3455"/>
      </w:tblGrid>
      <w:tr w:rsidR="00AB02C5" w:rsidRPr="00AB02C5" w:rsidTr="00B306D7">
        <w:trPr>
          <w:trHeight w:val="1104"/>
        </w:trPr>
        <w:tc>
          <w:tcPr>
            <w:tcW w:w="3227" w:type="dxa"/>
          </w:tcPr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lastRenderedPageBreak/>
              <w:t>2014 год – 4 737,4  тыс. руб.;</w:t>
            </w:r>
          </w:p>
          <w:p w:rsidR="00AB02C5" w:rsidRPr="00AB02C5" w:rsidRDefault="007216BE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AB02C5" w:rsidRPr="00AB02C5">
              <w:rPr>
                <w:rFonts w:ascii="Times New Roman" w:hAnsi="Times New Roman"/>
                <w:sz w:val="24"/>
                <w:szCs w:val="24"/>
              </w:rPr>
              <w:t>год – 8 576,6   тыс. руб.;</w:t>
            </w: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</w:t>
            </w:r>
            <w:r w:rsidR="007216BE">
              <w:rPr>
                <w:rFonts w:ascii="Times New Roman" w:hAnsi="Times New Roman"/>
                <w:sz w:val="24"/>
                <w:szCs w:val="24"/>
              </w:rPr>
              <w:t>016</w:t>
            </w:r>
            <w:r w:rsidRPr="00AB02C5">
              <w:rPr>
                <w:rFonts w:ascii="Times New Roman" w:hAnsi="Times New Roman"/>
                <w:sz w:val="24"/>
                <w:szCs w:val="24"/>
              </w:rPr>
              <w:t>год – 11 058,5 тыс. руб.;</w:t>
            </w: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2017 год – 8 075,3 тыс. руб.;</w:t>
            </w: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2018 год – 9 209,0 тыс. руб.;          </w:t>
            </w:r>
          </w:p>
          <w:p w:rsidR="00AB02C5" w:rsidRPr="00AB02C5" w:rsidRDefault="00AB02C5" w:rsidP="00AB0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2019 год – 7 216,3 тыс. руб.;</w:t>
            </w:r>
          </w:p>
          <w:p w:rsidR="00AB02C5" w:rsidRPr="00AB02C5" w:rsidRDefault="00AB02C5" w:rsidP="00AB0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AB02C5" w:rsidRPr="00AB02C5" w:rsidRDefault="00AB02C5" w:rsidP="00AB02C5">
            <w:pPr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2020 год – 7 498,4  тыс. руб.; </w:t>
            </w:r>
          </w:p>
          <w:p w:rsidR="00AB02C5" w:rsidRPr="00AB02C5" w:rsidRDefault="00AB02C5" w:rsidP="00AB02C5">
            <w:pPr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2021 год – 7 637,9  тыс. руб.</w:t>
            </w:r>
          </w:p>
        </w:tc>
      </w:tr>
    </w:tbl>
    <w:tbl>
      <w:tblPr>
        <w:tblpPr w:leftFromText="180" w:rightFromText="180" w:vertAnchor="text" w:horzAnchor="margin" w:tblpX="-318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134"/>
        <w:gridCol w:w="1276"/>
        <w:gridCol w:w="1134"/>
        <w:gridCol w:w="1275"/>
      </w:tblGrid>
      <w:tr w:rsidR="00AB02C5" w:rsidRPr="00AB02C5" w:rsidTr="007216BE">
        <w:tc>
          <w:tcPr>
            <w:tcW w:w="5495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</w:p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  тыс. руб.</w:t>
            </w:r>
          </w:p>
        </w:tc>
        <w:tc>
          <w:tcPr>
            <w:tcW w:w="1275" w:type="dxa"/>
          </w:tcPr>
          <w:p w:rsidR="00AB02C5" w:rsidRPr="00AB02C5" w:rsidRDefault="00AB02C5" w:rsidP="00AB02C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2017  тыс. руб.</w:t>
            </w:r>
          </w:p>
        </w:tc>
      </w:tr>
      <w:tr w:rsidR="00AB02C5" w:rsidRPr="00AB02C5" w:rsidTr="007216BE">
        <w:tc>
          <w:tcPr>
            <w:tcW w:w="5495" w:type="dxa"/>
          </w:tcPr>
          <w:p w:rsidR="00AB02C5" w:rsidRPr="00AB02C5" w:rsidRDefault="00AB02C5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1 042,6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1 072,8</w:t>
            </w:r>
          </w:p>
        </w:tc>
        <w:tc>
          <w:tcPr>
            <w:tcW w:w="1275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105,5</w:t>
            </w:r>
          </w:p>
        </w:tc>
      </w:tr>
      <w:tr w:rsidR="00AB02C5" w:rsidRPr="00AB02C5" w:rsidTr="007216BE">
        <w:tc>
          <w:tcPr>
            <w:tcW w:w="5495" w:type="dxa"/>
          </w:tcPr>
          <w:p w:rsidR="00AB02C5" w:rsidRPr="00AB02C5" w:rsidRDefault="00AB02C5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земельными ресурсами 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1275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168,8</w:t>
            </w:r>
          </w:p>
        </w:tc>
      </w:tr>
      <w:tr w:rsidR="00AB02C5" w:rsidRPr="00AB02C5" w:rsidTr="007216BE">
        <w:tc>
          <w:tcPr>
            <w:tcW w:w="5495" w:type="dxa"/>
          </w:tcPr>
          <w:p w:rsidR="00AB02C5" w:rsidRPr="00AB02C5" w:rsidRDefault="00AB02C5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413,5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689,6</w:t>
            </w:r>
          </w:p>
        </w:tc>
        <w:tc>
          <w:tcPr>
            <w:tcW w:w="1275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166,3</w:t>
            </w:r>
          </w:p>
        </w:tc>
      </w:tr>
      <w:tr w:rsidR="00AB02C5" w:rsidRPr="00AB02C5" w:rsidTr="007216BE">
        <w:tc>
          <w:tcPr>
            <w:tcW w:w="5495" w:type="dxa"/>
          </w:tcPr>
          <w:p w:rsidR="00AB02C5" w:rsidRPr="00AB02C5" w:rsidRDefault="00AB02C5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2 212,7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4 212,7</w:t>
            </w:r>
          </w:p>
        </w:tc>
        <w:tc>
          <w:tcPr>
            <w:tcW w:w="1275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3 799,8</w:t>
            </w:r>
          </w:p>
        </w:tc>
      </w:tr>
      <w:tr w:rsidR="00AB02C5" w:rsidRPr="00AB02C5" w:rsidTr="007216BE">
        <w:tc>
          <w:tcPr>
            <w:tcW w:w="5495" w:type="dxa"/>
          </w:tcPr>
          <w:p w:rsidR="00AB02C5" w:rsidRPr="00AB02C5" w:rsidRDefault="00AB02C5" w:rsidP="00AB02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C5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3 537,0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4 382,8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4 618,9</w:t>
            </w:r>
          </w:p>
        </w:tc>
        <w:tc>
          <w:tcPr>
            <w:tcW w:w="1275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3 834,9</w:t>
            </w:r>
          </w:p>
        </w:tc>
      </w:tr>
      <w:tr w:rsidR="00AB02C5" w:rsidRPr="00AB02C5" w:rsidTr="007216BE">
        <w:tc>
          <w:tcPr>
            <w:tcW w:w="5495" w:type="dxa"/>
          </w:tcPr>
          <w:p w:rsidR="00AB02C5" w:rsidRPr="00AB02C5" w:rsidRDefault="00AB02C5" w:rsidP="00AB0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4 737,4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8 576,6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11 058,5</w:t>
            </w:r>
          </w:p>
        </w:tc>
        <w:tc>
          <w:tcPr>
            <w:tcW w:w="1275" w:type="dxa"/>
          </w:tcPr>
          <w:p w:rsidR="00AB02C5" w:rsidRPr="00AB02C5" w:rsidRDefault="00AB02C5" w:rsidP="00AB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8 075,3</w:t>
            </w:r>
          </w:p>
        </w:tc>
      </w:tr>
    </w:tbl>
    <w:p w:rsidR="00AB02C5" w:rsidRPr="00AB02C5" w:rsidRDefault="00AB02C5" w:rsidP="00AB02C5">
      <w:pPr>
        <w:ind w:right="-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276"/>
        <w:gridCol w:w="1276"/>
        <w:gridCol w:w="1276"/>
      </w:tblGrid>
      <w:tr w:rsidR="00AB02C5" w:rsidRPr="00AB02C5" w:rsidTr="007216BE">
        <w:tc>
          <w:tcPr>
            <w:tcW w:w="5529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2018</w:t>
            </w:r>
          </w:p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    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 2019            тыс. руб.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2020           тыс. руб.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AB02C5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2C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B02C5">
              <w:rPr>
                <w:rFonts w:ascii="Times New Roman" w:hAnsi="Times New Roman"/>
                <w:sz w:val="24"/>
                <w:szCs w:val="24"/>
              </w:rPr>
              <w:t xml:space="preserve">     2021           тыс. руб.</w:t>
            </w:r>
          </w:p>
        </w:tc>
      </w:tr>
      <w:tr w:rsidR="00AB02C5" w:rsidRPr="00AB02C5" w:rsidTr="007216BE">
        <w:tc>
          <w:tcPr>
            <w:tcW w:w="5529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 xml:space="preserve">Признание прав и регулирование отношений по муниципальной собственности 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282,4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B02C5" w:rsidRPr="00AB02C5" w:rsidTr="007216BE">
        <w:tc>
          <w:tcPr>
            <w:tcW w:w="5529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980,6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AB02C5" w:rsidRPr="00AB02C5" w:rsidTr="007216BE">
        <w:tc>
          <w:tcPr>
            <w:tcW w:w="5529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 xml:space="preserve">Обеспечение обслуживания, содержания и распоряжения объектами Казны 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345,6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345,6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345,6</w:t>
            </w:r>
          </w:p>
        </w:tc>
      </w:tr>
      <w:tr w:rsidR="00AB02C5" w:rsidRPr="00AB02C5" w:rsidTr="007216BE">
        <w:tc>
          <w:tcPr>
            <w:tcW w:w="5529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3 868,6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1 868,6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1 868,6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1 868,6</w:t>
            </w:r>
          </w:p>
        </w:tc>
      </w:tr>
      <w:tr w:rsidR="00AB02C5" w:rsidRPr="00AB02C5" w:rsidTr="007216BE">
        <w:tc>
          <w:tcPr>
            <w:tcW w:w="5529" w:type="dxa"/>
          </w:tcPr>
          <w:p w:rsidR="00AB02C5" w:rsidRPr="007216BE" w:rsidRDefault="00AB02C5" w:rsidP="00AB02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16BE">
              <w:rPr>
                <w:rFonts w:ascii="Times New Roman" w:hAnsi="Times New Roman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3 754,1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3 839,1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3 984,2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5">
              <w:rPr>
                <w:rFonts w:ascii="Times New Roman" w:hAnsi="Times New Roman"/>
                <w:sz w:val="24"/>
                <w:szCs w:val="24"/>
              </w:rPr>
              <w:t>4 123,7</w:t>
            </w:r>
          </w:p>
        </w:tc>
      </w:tr>
      <w:tr w:rsidR="00AB02C5" w:rsidRPr="00AB02C5" w:rsidTr="007216BE">
        <w:tc>
          <w:tcPr>
            <w:tcW w:w="5529" w:type="dxa"/>
          </w:tcPr>
          <w:p w:rsidR="00AB02C5" w:rsidRPr="00AB02C5" w:rsidRDefault="00AB02C5" w:rsidP="00AB02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2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C5">
              <w:rPr>
                <w:rFonts w:ascii="Times New Roman" w:hAnsi="Times New Roman"/>
                <w:b/>
                <w:sz w:val="24"/>
                <w:szCs w:val="24"/>
              </w:rPr>
              <w:t>9 209,0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C5">
              <w:rPr>
                <w:rFonts w:ascii="Times New Roman" w:hAnsi="Times New Roman"/>
                <w:b/>
                <w:sz w:val="24"/>
                <w:szCs w:val="24"/>
              </w:rPr>
              <w:t>7 216,3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C5">
              <w:rPr>
                <w:rFonts w:ascii="Times New Roman" w:hAnsi="Times New Roman"/>
                <w:b/>
                <w:sz w:val="24"/>
                <w:szCs w:val="24"/>
              </w:rPr>
              <w:t>7 498,4</w:t>
            </w:r>
          </w:p>
        </w:tc>
        <w:tc>
          <w:tcPr>
            <w:tcW w:w="1276" w:type="dxa"/>
          </w:tcPr>
          <w:p w:rsidR="00AB02C5" w:rsidRPr="00AB02C5" w:rsidRDefault="00AB02C5" w:rsidP="00AB0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C5">
              <w:rPr>
                <w:rFonts w:ascii="Times New Roman" w:hAnsi="Times New Roman"/>
                <w:b/>
                <w:sz w:val="24"/>
                <w:szCs w:val="24"/>
              </w:rPr>
              <w:t>7 637,9</w:t>
            </w:r>
          </w:p>
        </w:tc>
      </w:tr>
    </w:tbl>
    <w:p w:rsidR="00AB02C5" w:rsidRPr="00AB02C5" w:rsidRDefault="00AB02C5" w:rsidP="00AB0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5. Основные меры правового регулирования в сфере реализации муниципальной программы</w:t>
      </w:r>
    </w:p>
    <w:p w:rsidR="00AB02C5" w:rsidRPr="00AB02C5" w:rsidRDefault="00AB02C5" w:rsidP="00AB02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  <w:r w:rsidRPr="00AB02C5">
        <w:rPr>
          <w:rFonts w:ascii="Times New Roman" w:eastAsia="Calibri" w:hAnsi="Times New Roman" w:cs="Times New Roman"/>
          <w:sz w:val="24"/>
          <w:szCs w:val="24"/>
        </w:rPr>
        <w:br/>
        <w:t xml:space="preserve">          1. </w:t>
      </w:r>
      <w:r w:rsidRPr="00AB02C5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1</w:t>
      </w:r>
      <w:r w:rsidRPr="00AB02C5">
        <w:rPr>
          <w:rFonts w:ascii="Times New Roman" w:eastAsia="Calibri" w:hAnsi="Times New Roman" w:cs="Times New Roman"/>
          <w:sz w:val="24"/>
          <w:szCs w:val="24"/>
        </w:rPr>
        <w:t>: «Признание прав и регулирование отношений по муниципальной собственности»: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Гражданский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21.12.2001 № 178-ФЗ «О приватизации государственного и муниципального имущества»;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29.07.1998 № 135-ФЗ «Об оценочной деятельности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Областной закон от 27.02.2002 № 22-з «О порядке управления и распоряжения государственной собственностью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</w:t>
      </w:r>
      <w:proofErr w:type="spellStart"/>
      <w:r w:rsidRPr="00AB02C5">
        <w:rPr>
          <w:rFonts w:ascii="Times New Roman" w:eastAsia="Calibri" w:hAnsi="Times New Roman" w:cs="Times New Roman"/>
          <w:sz w:val="24"/>
          <w:szCs w:val="24"/>
        </w:rPr>
        <w:t>Десногорского</w:t>
      </w:r>
      <w:proofErr w:type="spellEnd"/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от 24.04.2012 № 620.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Основное мероприятие 2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: «</w:t>
      </w:r>
      <w:r w:rsidRPr="00AB02C5">
        <w:rPr>
          <w:rFonts w:ascii="Times New Roman" w:eastAsia="Calibri" w:hAnsi="Times New Roman" w:cs="Times New Roman"/>
          <w:sz w:val="24"/>
          <w:szCs w:val="24"/>
        </w:rPr>
        <w:t>Управление земельными ресурсами»: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Земельный кодекс Российской Федерации;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25.10.2001  № 137-ФЗ «О введении в действие Земельного кодекса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24.07.2007 № 221-ФЗ «О </w:t>
      </w:r>
      <w:r w:rsidR="00B669CC">
        <w:rPr>
          <w:rFonts w:ascii="Times New Roman" w:eastAsia="Calibri" w:hAnsi="Times New Roman" w:cs="Times New Roman"/>
          <w:sz w:val="24"/>
          <w:szCs w:val="24"/>
        </w:rPr>
        <w:t>кадастровой деятельности</w:t>
      </w:r>
      <w:r w:rsidRPr="00AB02C5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29.07.1998 № 135-ФЗ «Об оценочной деятельности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закон от 13.07.2015 № 218-ФЗ «О государственной регистрации недвижимости»;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Положение о регулировании земельных отношений на территории муниципального образования «город Десногорск» Смоленской области, утвержденное Решением </w:t>
      </w:r>
      <w:proofErr w:type="spellStart"/>
      <w:r w:rsidRPr="00AB02C5">
        <w:rPr>
          <w:rFonts w:ascii="Times New Roman" w:eastAsia="Calibri" w:hAnsi="Times New Roman" w:cs="Times New Roman"/>
          <w:sz w:val="24"/>
          <w:szCs w:val="24"/>
        </w:rPr>
        <w:t>Десногорского</w:t>
      </w:r>
      <w:proofErr w:type="spellEnd"/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от 29.08.2012 № 670.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B02C5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3</w:t>
      </w:r>
      <w:r w:rsidRPr="00AB02C5">
        <w:rPr>
          <w:rFonts w:ascii="Times New Roman" w:eastAsia="Calibri" w:hAnsi="Times New Roman" w:cs="Times New Roman"/>
          <w:sz w:val="24"/>
          <w:szCs w:val="24"/>
        </w:rPr>
        <w:t>: «Обеспечение обслуживания, содержания и распоряжения объектами Казны»: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Конституция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29.07.1998 № 135-ФЗ «Об оценочной деятельности в Российской Федерации»;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Федеральный закон от 26.07.2006  № 135-ФЗ «О защите конкуренции»;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2C5">
        <w:rPr>
          <w:rFonts w:ascii="Times New Roman" w:eastAsia="Calibri" w:hAnsi="Times New Roman" w:cs="Times New Roman"/>
          <w:sz w:val="24"/>
          <w:szCs w:val="24"/>
        </w:rPr>
        <w:t>- 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Положение о порядке владения, пользования и распоряжения муниципальным имуществом  муниципального образования «город Десногорск» Смоленской области, утверждённое  решением </w:t>
      </w:r>
      <w:proofErr w:type="spellStart"/>
      <w:r w:rsidRPr="00AB02C5">
        <w:rPr>
          <w:rFonts w:ascii="Times New Roman" w:eastAsia="Calibri" w:hAnsi="Times New Roman" w:cs="Times New Roman"/>
          <w:sz w:val="24"/>
          <w:szCs w:val="24"/>
        </w:rPr>
        <w:t>Десногорского</w:t>
      </w:r>
      <w:proofErr w:type="spellEnd"/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от 24.04.2012 № 620.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4. Основное мероприятие 4: «</w:t>
      </w:r>
      <w:r w:rsidRPr="00AB02C5">
        <w:rPr>
          <w:rFonts w:ascii="Times New Roman" w:eastAsia="Calibri" w:hAnsi="Times New Roman" w:cs="Times New Roman"/>
          <w:sz w:val="24"/>
          <w:szCs w:val="24"/>
        </w:rPr>
        <w:t>Обеспечение капитального ремонта муниципального жилищного фонда»: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Жилищный кодекс Российской Федерации;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17.12.2014 № 855 «Об установлении на 2015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06.11.2015 № 680 «Об установлении на 2016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13.12.2016 № 735 «Об установлении на 2017 год минимального размера взноса на капитальный ремонт общего имущества в многоквартирном доме на территории Смоленской области»;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Смоленской области от 21.12.2017 № 880 «Об установлении на 2018 год минимального размера взноса на капитальный ремонт общего имущества в многоквартирном доме на территории Смоленской области»; 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Смоленской области от 14.12.2018 № 861 «Об установлении на 2019 год минимального размера взноса на капитальный ремонт общего имущества в многоквартирном доме на территории Смоленской области».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6. Применение мер муниципального регулирования  в сфере реализации муниципальной программы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Налоговые, тарифные, кредитные и иные меры муниципального регулирования в рамках реализации программы «Управление имуществом и земельными ресурсами муниципального образования «город Десногорск» Смоленской области» не предусмотрены.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ОБЕСПЕЧИВАЮЩАЯ ПОДПРОГРАММА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1. Цель и целевые показатели обеспечивающей подпрограммы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Целью обеспечивающей подпрограммы является обеспечение организационных, информационных и научно-методических условий для реализации мероприятий муниципальной программы.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направлениями реализации обеспечивающей подпрограммы являются: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управлять имуществом муниципального образования;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осуществлять полномочия по управлению земельными участками муниципального образования;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2C5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осуществлять иные полномочия в соответствии с Уставом 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2C5">
        <w:rPr>
          <w:rFonts w:ascii="Times New Roman" w:eastAsia="Calibri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2C5">
        <w:rPr>
          <w:rFonts w:ascii="Times New Roman" w:eastAsia="Calibri" w:hAnsi="Times New Roman" w:cs="Times New Roman"/>
          <w:sz w:val="24"/>
          <w:szCs w:val="24"/>
        </w:rPr>
        <w:t>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 Объемы бюджетных ассигнований приведены в таблице:</w:t>
      </w:r>
    </w:p>
    <w:p w:rsidR="00AB02C5" w:rsidRPr="00AB02C5" w:rsidRDefault="00AB02C5" w:rsidP="00AB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1134"/>
      </w:tblGrid>
      <w:tr w:rsidR="00AB02C5" w:rsidRPr="00AB02C5" w:rsidTr="00C845FB">
        <w:tc>
          <w:tcPr>
            <w:tcW w:w="5070" w:type="dxa"/>
            <w:vMerge w:val="restart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4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B02C5" w:rsidRPr="00AB02C5" w:rsidTr="00C845FB">
        <w:tc>
          <w:tcPr>
            <w:tcW w:w="5070" w:type="dxa"/>
            <w:vMerge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</w:tr>
      <w:tr w:rsidR="00AB02C5" w:rsidRPr="00AB02C5" w:rsidTr="00C845FB">
        <w:tc>
          <w:tcPr>
            <w:tcW w:w="5070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618,9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834,9</w:t>
            </w:r>
          </w:p>
        </w:tc>
      </w:tr>
    </w:tbl>
    <w:p w:rsidR="00AB02C5" w:rsidRPr="00AB02C5" w:rsidRDefault="00AB02C5" w:rsidP="00AB02C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1134"/>
      </w:tblGrid>
      <w:tr w:rsidR="00AB02C5" w:rsidRPr="00AB02C5" w:rsidTr="00C845FB">
        <w:tc>
          <w:tcPr>
            <w:tcW w:w="5070" w:type="dxa"/>
            <w:vMerge w:val="restart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536" w:type="dxa"/>
            <w:gridSpan w:val="4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B02C5" w:rsidRPr="00AB02C5" w:rsidTr="00C845FB">
        <w:tc>
          <w:tcPr>
            <w:tcW w:w="5070" w:type="dxa"/>
            <w:vMerge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AB02C5" w:rsidRPr="00AB02C5" w:rsidTr="00C845FB">
        <w:tc>
          <w:tcPr>
            <w:tcW w:w="5070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C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3 754,1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3 839,1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3 984,2</w:t>
            </w:r>
          </w:p>
        </w:tc>
        <w:tc>
          <w:tcPr>
            <w:tcW w:w="1134" w:type="dxa"/>
          </w:tcPr>
          <w:p w:rsidR="00AB02C5" w:rsidRPr="00AB02C5" w:rsidRDefault="00AB02C5" w:rsidP="00AB0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4 123,7</w:t>
            </w:r>
          </w:p>
        </w:tc>
      </w:tr>
    </w:tbl>
    <w:p w:rsidR="00F85679" w:rsidRDefault="00F85679"/>
    <w:sectPr w:rsidR="00F85679" w:rsidSect="007039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5"/>
    <w:rsid w:val="001D5294"/>
    <w:rsid w:val="00521533"/>
    <w:rsid w:val="007039AC"/>
    <w:rsid w:val="007216BE"/>
    <w:rsid w:val="00AB02C5"/>
    <w:rsid w:val="00B669CC"/>
    <w:rsid w:val="00C845FB"/>
    <w:rsid w:val="00F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K125</cp:lastModifiedBy>
  <cp:revision>7</cp:revision>
  <dcterms:created xsi:type="dcterms:W3CDTF">2019-02-15T06:03:00Z</dcterms:created>
  <dcterms:modified xsi:type="dcterms:W3CDTF">2019-03-19T12:49:00Z</dcterms:modified>
</cp:coreProperties>
</file>