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A01BF0" w:rsidP="00A01BF0">
      <w:pPr>
        <w:ind w:firstLine="0"/>
      </w:pPr>
      <w:r w:rsidRPr="005407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9434" wp14:editId="3B985CE4">
                <wp:simplePos x="0" y="0"/>
                <wp:positionH relativeFrom="column">
                  <wp:posOffset>891540</wp:posOffset>
                </wp:positionH>
                <wp:positionV relativeFrom="paragraph">
                  <wp:posOffset>470535</wp:posOffset>
                </wp:positionV>
                <wp:extent cx="2276475" cy="7715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BF0" w:rsidRPr="005275D5" w:rsidRDefault="00A01BF0" w:rsidP="00A01BF0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01BF0" w:rsidRPr="005275D5" w:rsidRDefault="00A01BF0" w:rsidP="00A01BF0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A01BF0" w:rsidRPr="005275D5" w:rsidRDefault="00A01BF0" w:rsidP="00A01BF0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01BF0" w:rsidRPr="00F75B0D" w:rsidRDefault="00A01BF0" w:rsidP="00A01BF0">
                            <w:pPr>
                              <w:ind w:firstLine="0"/>
                              <w:jc w:val="left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94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0.2pt;margin-top:37.05pt;width:17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" strokecolor="white">
                <v:textbox>
                  <w:txbxContent>
                    <w:p w:rsidR="00A01BF0" w:rsidRPr="005275D5" w:rsidRDefault="00A01BF0" w:rsidP="00A01BF0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01BF0" w:rsidRPr="005275D5" w:rsidRDefault="00A01BF0" w:rsidP="00A01BF0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A01BF0" w:rsidRPr="005275D5" w:rsidRDefault="00A01BF0" w:rsidP="00A01BF0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01BF0" w:rsidRPr="00F75B0D" w:rsidRDefault="00A01BF0" w:rsidP="00A01BF0">
                      <w:pPr>
                        <w:ind w:firstLine="0"/>
                        <w:jc w:val="left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5CF5922E" wp14:editId="53F5CB79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44" w:rsidRDefault="009B6A44" w:rsidP="00A01BF0">
      <w:pPr>
        <w:ind w:firstLine="0"/>
      </w:pPr>
    </w:p>
    <w:p w:rsidR="00596F93" w:rsidRDefault="00010AB0" w:rsidP="00596F93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Непредставление сведений</w:t>
      </w:r>
      <w:r w:rsidR="0084542B" w:rsidRPr="0084542B">
        <w:rPr>
          <w:rFonts w:ascii="Segoe UI" w:hAnsi="Segoe UI" w:cs="Segoe UI"/>
          <w:b/>
          <w:sz w:val="32"/>
          <w:szCs w:val="32"/>
        </w:rPr>
        <w:t xml:space="preserve"> </w:t>
      </w:r>
      <w:r w:rsidR="00497D45">
        <w:rPr>
          <w:rFonts w:ascii="Segoe UI" w:hAnsi="Segoe UI" w:cs="Segoe UI"/>
          <w:b/>
          <w:sz w:val="32"/>
          <w:szCs w:val="32"/>
        </w:rPr>
        <w:t xml:space="preserve">о </w:t>
      </w:r>
      <w:r w:rsidR="0084542B" w:rsidRPr="0084542B">
        <w:rPr>
          <w:rFonts w:ascii="Segoe UI" w:hAnsi="Segoe UI" w:cs="Segoe UI"/>
          <w:b/>
          <w:sz w:val="32"/>
          <w:szCs w:val="32"/>
        </w:rPr>
        <w:t>повреждени</w:t>
      </w:r>
      <w:r w:rsidR="00497D45">
        <w:rPr>
          <w:rFonts w:ascii="Segoe UI" w:hAnsi="Segoe UI" w:cs="Segoe UI"/>
          <w:b/>
          <w:sz w:val="32"/>
          <w:szCs w:val="32"/>
        </w:rPr>
        <w:t>и</w:t>
      </w:r>
      <w:r w:rsidR="0084542B" w:rsidRPr="0084542B">
        <w:rPr>
          <w:rFonts w:ascii="Segoe UI" w:hAnsi="Segoe UI" w:cs="Segoe UI"/>
          <w:b/>
          <w:sz w:val="32"/>
          <w:szCs w:val="32"/>
        </w:rPr>
        <w:t xml:space="preserve"> или уничтожени</w:t>
      </w:r>
      <w:r w:rsidR="00497D45">
        <w:rPr>
          <w:rFonts w:ascii="Segoe UI" w:hAnsi="Segoe UI" w:cs="Segoe UI"/>
          <w:b/>
          <w:sz w:val="32"/>
          <w:szCs w:val="32"/>
        </w:rPr>
        <w:t>и</w:t>
      </w:r>
      <w:r w:rsidR="0084542B" w:rsidRPr="0084542B">
        <w:rPr>
          <w:rFonts w:ascii="Segoe UI" w:hAnsi="Segoe UI" w:cs="Segoe UI"/>
          <w:b/>
          <w:sz w:val="32"/>
          <w:szCs w:val="32"/>
        </w:rPr>
        <w:t xml:space="preserve"> пунктов ГГС</w:t>
      </w:r>
      <w:r w:rsidR="0084542B" w:rsidRPr="0084542B">
        <w:rPr>
          <w:rFonts w:ascii="Segoe UI" w:hAnsi="Segoe UI" w:cs="Segoe UI"/>
          <w:b/>
          <w:sz w:val="32"/>
          <w:szCs w:val="32"/>
        </w:rPr>
        <w:t xml:space="preserve"> влечет</w:t>
      </w:r>
      <w:r w:rsidR="00497D45">
        <w:rPr>
          <w:rFonts w:ascii="Segoe UI" w:hAnsi="Segoe UI" w:cs="Segoe UI"/>
          <w:b/>
          <w:sz w:val="32"/>
          <w:szCs w:val="32"/>
        </w:rPr>
        <w:t xml:space="preserve"> </w:t>
      </w:r>
      <w:r w:rsidR="0084542B" w:rsidRPr="0084542B">
        <w:rPr>
          <w:rFonts w:ascii="Segoe UI" w:hAnsi="Segoe UI" w:cs="Segoe UI"/>
          <w:b/>
          <w:sz w:val="32"/>
          <w:szCs w:val="32"/>
        </w:rPr>
        <w:t>административн</w:t>
      </w:r>
      <w:r w:rsidR="0084542B" w:rsidRPr="0084542B">
        <w:rPr>
          <w:rFonts w:ascii="Segoe UI" w:hAnsi="Segoe UI" w:cs="Segoe UI"/>
          <w:b/>
          <w:sz w:val="32"/>
          <w:szCs w:val="32"/>
        </w:rPr>
        <w:t>ую</w:t>
      </w:r>
      <w:r w:rsidR="0084542B" w:rsidRPr="0084542B">
        <w:rPr>
          <w:rFonts w:ascii="Segoe UI" w:hAnsi="Segoe UI" w:cs="Segoe UI"/>
          <w:b/>
          <w:sz w:val="32"/>
          <w:szCs w:val="32"/>
        </w:rPr>
        <w:t xml:space="preserve"> ответственность </w:t>
      </w:r>
    </w:p>
    <w:p w:rsidR="00497D45" w:rsidRPr="0084542B" w:rsidRDefault="00497D45" w:rsidP="00596F93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</w:p>
    <w:p w:rsidR="00A01BF0" w:rsidRDefault="00A01BF0" w:rsidP="00A435AC">
      <w:pPr>
        <w:ind w:firstLine="0"/>
        <w:jc w:val="center"/>
      </w:pPr>
      <w:r>
        <w:rPr>
          <w:noProof/>
        </w:rPr>
        <w:drawing>
          <wp:inline distT="0" distB="0" distL="0" distR="0" wp14:anchorId="419FB6C3" wp14:editId="273321C5">
            <wp:extent cx="5092861" cy="1854650"/>
            <wp:effectExtent l="0" t="0" r="0" b="0"/>
            <wp:docPr id="3" name="Рисунок 3" descr="https://avatars.mds.yandex.net/get-zen_doc/1875939/pub_5dcbc1292538e85f0fa8058b_5dcbc1f328fbfa14e83a17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5939/pub_5dcbc1292538e85f0fa8058b_5dcbc1f328fbfa14e83a170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02" cy="185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F0" w:rsidRDefault="00A01BF0" w:rsidP="00A01BF0">
      <w:pPr>
        <w:ind w:firstLine="0"/>
      </w:pPr>
    </w:p>
    <w:p w:rsidR="00A01BF0" w:rsidRDefault="00A01BF0" w:rsidP="00A01BF0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3415665" cy="8763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BF0" w:rsidRPr="00A435AC" w:rsidRDefault="00A01BF0" w:rsidP="00A01BF0">
                            <w:pPr>
                              <w:ind w:firstLine="0"/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</w:pPr>
                            <w:r w:rsidRPr="00A435AC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>«Незнание закона не освобождает от ответственности. А вот знание нередко освобождает».</w:t>
                            </w:r>
                          </w:p>
                          <w:p w:rsidR="00A01BF0" w:rsidRPr="00A435AC" w:rsidRDefault="00A01BF0" w:rsidP="00A01BF0">
                            <w:pPr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</w:pPr>
                            <w:r w:rsidRPr="00A435AC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93C3F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435AC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 xml:space="preserve"> Станислав Ежи </w:t>
                            </w:r>
                            <w:proofErr w:type="spellStart"/>
                            <w:r w:rsidRPr="00A435AC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>Лец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17.75pt;margin-top:1.05pt;width:268.95pt;height:6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" stroked="f">
                <v:textbox>
                  <w:txbxContent>
                    <w:p w:rsidR="00A01BF0" w:rsidRPr="00A435AC" w:rsidRDefault="00A01BF0" w:rsidP="00A01BF0">
                      <w:pPr>
                        <w:ind w:firstLine="0"/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</w:pPr>
                      <w:r w:rsidRPr="00A435AC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>«Незнание закона не освобождает от ответственности. А вот знание нередко освобождает».</w:t>
                      </w:r>
                    </w:p>
                    <w:p w:rsidR="00A01BF0" w:rsidRPr="00A435AC" w:rsidRDefault="00A01BF0" w:rsidP="00A01BF0">
                      <w:pPr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</w:pPr>
                      <w:r w:rsidRPr="00A435AC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 xml:space="preserve">                          </w:t>
                      </w:r>
                      <w:r w:rsidR="00993C3F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A435AC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 xml:space="preserve"> Станислав Ежи </w:t>
                      </w:r>
                      <w:proofErr w:type="spellStart"/>
                      <w:r w:rsidRPr="00A435AC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>Лец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BF0" w:rsidRDefault="00A01BF0" w:rsidP="00A01BF0">
      <w:pPr>
        <w:ind w:firstLine="0"/>
      </w:pPr>
    </w:p>
    <w:p w:rsidR="00A01BF0" w:rsidRDefault="00A01BF0" w:rsidP="00A01BF0">
      <w:pPr>
        <w:ind w:firstLine="0"/>
      </w:pPr>
    </w:p>
    <w:p w:rsidR="00A01BF0" w:rsidRDefault="00A01BF0" w:rsidP="00A01BF0">
      <w:pPr>
        <w:ind w:firstLine="0"/>
      </w:pPr>
    </w:p>
    <w:p w:rsidR="00A01BF0" w:rsidRDefault="00A01BF0" w:rsidP="00A01BF0">
      <w:pPr>
        <w:ind w:firstLine="0"/>
      </w:pPr>
    </w:p>
    <w:p w:rsidR="00A01BF0" w:rsidRDefault="00A01BF0" w:rsidP="00A01BF0">
      <w:pPr>
        <w:ind w:firstLine="0"/>
      </w:pPr>
    </w:p>
    <w:p w:rsidR="00A01BF0" w:rsidRPr="00A435AC" w:rsidRDefault="00A01BF0" w:rsidP="00A01BF0">
      <w:pPr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Данная статья буде</w:t>
      </w:r>
      <w:r w:rsidRPr="00A435AC">
        <w:rPr>
          <w:rFonts w:ascii="Segoe UI" w:hAnsi="Segoe UI" w:cs="Segoe UI"/>
          <w:sz w:val="24"/>
          <w:szCs w:val="24"/>
        </w:rPr>
        <w:t xml:space="preserve">т интересна, в первую очередь, </w:t>
      </w:r>
      <w:r w:rsidRPr="00A435AC">
        <w:rPr>
          <w:rFonts w:ascii="Segoe UI" w:hAnsi="Segoe UI" w:cs="Segoe UI"/>
          <w:sz w:val="24"/>
          <w:szCs w:val="24"/>
        </w:rPr>
        <w:t>юридическим лицам и индивидуальным предпринимателям, выполняющим геодезические и картографические работы.</w:t>
      </w:r>
    </w:p>
    <w:p w:rsidR="00A01BF0" w:rsidRPr="00A435AC" w:rsidRDefault="00A01BF0" w:rsidP="00A01BF0">
      <w:pPr>
        <w:contextualSpacing/>
        <w:rPr>
          <w:rFonts w:ascii="Segoe UI" w:hAnsi="Segoe UI" w:cs="Segoe UI"/>
          <w:sz w:val="24"/>
          <w:szCs w:val="24"/>
          <w:shd w:val="clear" w:color="auto" w:fill="FFFFFF"/>
        </w:rPr>
      </w:pPr>
      <w:r w:rsidRPr="00A435AC">
        <w:rPr>
          <w:rFonts w:ascii="Segoe UI" w:hAnsi="Segoe UI" w:cs="Segoe UI"/>
          <w:sz w:val="24"/>
          <w:szCs w:val="24"/>
          <w:shd w:val="clear" w:color="auto" w:fill="FFFFFF"/>
        </w:rPr>
        <w:t>Статьей 19.7 Кодекса Российской Федерации об административных правонарушениях (КоАП РФ) предусмотрена административная ответственность за непредставление или несвоевременное представление сведений (информации), представление которых предусмотрено законом и необходимо для осуществления государственным органом (должностным лицом) его законной деятельности, либо представление таких сведений (информации) в неполном объеме или в искаженном виде.</w:t>
      </w:r>
    </w:p>
    <w:p w:rsidR="00A01BF0" w:rsidRPr="00A435AC" w:rsidRDefault="00A01BF0" w:rsidP="00A01BF0">
      <w:pPr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 xml:space="preserve">Под норму данной статьи подпадают действия юридических лиц и индивидуальных предпринимателей, выполняющих геодезические и картографические работы, в том числе при осуществлении градостроительной и кадастровой деятельности, иной деятельности, которая предполагает использование пунктов государственной геодезической сети, государственной нивелирной сети и государственной гравиметрической сети (Пункты), в случае непредставления ими информации об уничтожении или повреждении Пунктов в федеральный орган исполнительной власти, уполномоченный на оказание </w:t>
      </w:r>
      <w:r w:rsidRPr="00A435AC">
        <w:rPr>
          <w:rFonts w:ascii="Segoe UI" w:hAnsi="Segoe UI" w:cs="Segoe UI"/>
          <w:sz w:val="24"/>
          <w:szCs w:val="24"/>
        </w:rPr>
        <w:lastRenderedPageBreak/>
        <w:t xml:space="preserve">государственных услуг в сфере геодезии и картографии - Управление Федеральной службы государственной регистрации, кадастра и картографии по Смоленской области (Управление). Такое уведомление осуществляется в соответствии с Порядком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 (Порядок), утвержденным </w:t>
      </w:r>
      <w:hyperlink r:id="rId6" w:history="1">
        <w:r w:rsidRPr="00A435AC">
          <w:rPr>
            <w:rFonts w:ascii="Segoe UI" w:hAnsi="Segoe UI" w:cs="Segoe UI"/>
            <w:sz w:val="24"/>
            <w:szCs w:val="24"/>
          </w:rPr>
          <w:t>приказ</w:t>
        </w:r>
      </w:hyperlink>
      <w:r w:rsidRPr="00A435AC">
        <w:rPr>
          <w:rFonts w:ascii="Segoe UI" w:hAnsi="Segoe UI" w:cs="Segoe UI"/>
          <w:sz w:val="24"/>
          <w:szCs w:val="24"/>
        </w:rPr>
        <w:t>ом Минэкономразвития России от 29.03.2017 № 135.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Согласно Приказу Минэкономразвити</w:t>
      </w:r>
      <w:r w:rsidRPr="00A435AC">
        <w:rPr>
          <w:rFonts w:ascii="Segoe UI" w:hAnsi="Segoe UI" w:cs="Segoe UI"/>
          <w:sz w:val="24"/>
          <w:szCs w:val="24"/>
        </w:rPr>
        <w:t>я России от 29.03.2017 № 138 «</w:t>
      </w:r>
      <w:r w:rsidRPr="00A435AC">
        <w:rPr>
          <w:rFonts w:ascii="Segoe UI" w:hAnsi="Segoe UI" w:cs="Segoe UI"/>
          <w:sz w:val="24"/>
          <w:szCs w:val="24"/>
        </w:rPr>
        <w:t>Об установлении структуры государственной геодезической сети и требований к созданию государственной геодезической сети, включая требования к геодезическим пунктам</w:t>
      </w:r>
      <w:r w:rsidRPr="00A435AC">
        <w:rPr>
          <w:rFonts w:ascii="Segoe UI" w:hAnsi="Segoe UI" w:cs="Segoe UI"/>
          <w:sz w:val="24"/>
          <w:szCs w:val="24"/>
        </w:rPr>
        <w:t>»</w:t>
      </w:r>
      <w:r w:rsidRPr="00A435AC">
        <w:rPr>
          <w:rFonts w:ascii="Segoe UI" w:hAnsi="Segoe UI" w:cs="Segoe UI"/>
          <w:sz w:val="24"/>
          <w:szCs w:val="24"/>
        </w:rPr>
        <w:t>, пункты считаются утраченными, если отсутствуют верхний и нижний центры и их утрата подтверждена данными инструментально-геодезического поиска. Геодезический пункт считается разрушенным, если отсутствует верхний центр пункта.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Пункт считается</w:t>
      </w:r>
      <w:r w:rsidRPr="00A435AC">
        <w:rPr>
          <w:rFonts w:ascii="Segoe UI" w:hAnsi="Segoe UI" w:cs="Segoe UI"/>
          <w:sz w:val="24"/>
          <w:szCs w:val="24"/>
        </w:rPr>
        <w:t xml:space="preserve"> поврежденным, </w:t>
      </w:r>
      <w:r w:rsidRPr="00A435AC">
        <w:rPr>
          <w:rFonts w:ascii="Segoe UI" w:hAnsi="Segoe UI" w:cs="Segoe UI"/>
          <w:sz w:val="24"/>
          <w:szCs w:val="24"/>
        </w:rPr>
        <w:t>если отсутствует наружный знак.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b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Согласно п. 4 Порядка лица, выполняющие геодезические и картографические работы, в том числе при осуществлении градостроительной и кадастровой деятельности, землеустройства, недропользования, иной деятельности, которая требует использования пунктов государственной геодезической сети, государственной нивелирной сети и государственной гравиметрической сети, в случаях обнаружения уничтожения или повреждения пунктов государственной геодезической сети, государственной нивелирной сети и государственной гравиметрической сети  обязаны направить информацию об этом в федеральный орган исполнительной власти, уполномоченного на оказание государственных услуг в сфере геодезии и картографии. Срок направления такой информации - не позднее 15 календарных дней со дня завершения полевых геодезических и картографических работ.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Информация, направляемая лицами, должна содержать: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а) наименование и адрес регистрации юридического лица или фамилию, имя, отчество (последнее - при наличии) индивидуального предпринимателя - кадастрового инженера (кадастровый инженер) почтовый адрес, адрес электронной почты (для реализации возможности обратной связи), номер квалификационного аттестата кадастрового инженера и (или) страховой номер индивидуального лицевого счета кадастрового инженера, а также наименование саморегулируемой организации кадастровых инженеров, в которой состоит кадастровый инженер;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б) наименование пункта, тип центра и номер его марки, местоположение, адрес (при наличии);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в) сведения об уничтожении или повреждении пункта.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К направляемой информации прилагается фотография с места размещения пункта.</w:t>
      </w:r>
    </w:p>
    <w:p w:rsidR="00A01BF0" w:rsidRPr="00A435AC" w:rsidRDefault="00A236E3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9F05E44" wp14:editId="555D2C58">
            <wp:simplePos x="0" y="0"/>
            <wp:positionH relativeFrom="column">
              <wp:posOffset>3825240</wp:posOffset>
            </wp:positionH>
            <wp:positionV relativeFrom="paragraph">
              <wp:posOffset>450215</wp:posOffset>
            </wp:positionV>
            <wp:extent cx="2095500" cy="1586865"/>
            <wp:effectExtent l="0" t="0" r="0" b="0"/>
            <wp:wrapSquare wrapText="bothSides"/>
            <wp:docPr id="6" name="Рисунок 1" descr="http://kirmayak.ru/upload/iblock/72d/72d06e5936c603dcb274fcd66d90e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mayak.ru/upload/iblock/72d/72d06e5936c603dcb274fcd66d90e5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BF0" w:rsidRPr="00A435AC">
        <w:rPr>
          <w:rFonts w:ascii="Segoe UI" w:hAnsi="Segoe UI" w:cs="Segoe UI"/>
          <w:sz w:val="24"/>
          <w:szCs w:val="24"/>
        </w:rPr>
        <w:t>Действующим законодательством Российской Федерации не установлена форма (образец) представления информации о повреждении или уничтожении Пунктов в Управление, поэтому данные сведения могут быть представлены в Управление в произвольной форме, но с обязательным содержанием сведений, установленных п. 4 Порядка.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>Порядок не содержит положе</w:t>
      </w:r>
      <w:r w:rsidRPr="00A435AC">
        <w:rPr>
          <w:rFonts w:ascii="Segoe UI" w:hAnsi="Segoe UI" w:cs="Segoe UI"/>
          <w:sz w:val="24"/>
          <w:szCs w:val="24"/>
        </w:rPr>
        <w:t xml:space="preserve">ний, исключающих необходимость </w:t>
      </w:r>
      <w:r w:rsidRPr="00A435AC">
        <w:rPr>
          <w:rFonts w:ascii="Segoe UI" w:hAnsi="Segoe UI" w:cs="Segoe UI"/>
          <w:sz w:val="24"/>
          <w:szCs w:val="24"/>
        </w:rPr>
        <w:t>уведомления о случаях повреждения или уничто</w:t>
      </w:r>
      <w:r w:rsidRPr="00A435AC">
        <w:rPr>
          <w:rFonts w:ascii="Segoe UI" w:hAnsi="Segoe UI" w:cs="Segoe UI"/>
          <w:sz w:val="24"/>
          <w:szCs w:val="24"/>
        </w:rPr>
        <w:t xml:space="preserve">жения пунктов ГГС, в том числе </w:t>
      </w:r>
      <w:r w:rsidRPr="00A435AC">
        <w:rPr>
          <w:rFonts w:ascii="Segoe UI" w:hAnsi="Segoe UI" w:cs="Segoe UI"/>
          <w:sz w:val="24"/>
          <w:szCs w:val="24"/>
        </w:rPr>
        <w:t>в случае наличия у уполномоченного органа све</w:t>
      </w:r>
      <w:r w:rsidRPr="00A435AC">
        <w:rPr>
          <w:rFonts w:ascii="Segoe UI" w:hAnsi="Segoe UI" w:cs="Segoe UI"/>
          <w:sz w:val="24"/>
          <w:szCs w:val="24"/>
        </w:rPr>
        <w:t>дений об утрате или повреждении</w:t>
      </w:r>
      <w:r w:rsidRPr="00A435AC">
        <w:rPr>
          <w:rFonts w:ascii="Segoe UI" w:hAnsi="Segoe UI" w:cs="Segoe UI"/>
          <w:sz w:val="24"/>
          <w:szCs w:val="24"/>
        </w:rPr>
        <w:t xml:space="preserve"> пунктов ГГС, представленных другими физическими или юридическими лицами.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 xml:space="preserve">При этом для исполнения п. 4 Порядка достаточно однократного представления лицом, выполняющим геодезические и картографические работы, сведений </w:t>
      </w:r>
      <w:r w:rsidRPr="00A435AC">
        <w:rPr>
          <w:rFonts w:ascii="Segoe UI" w:hAnsi="Segoe UI" w:cs="Segoe UI"/>
          <w:sz w:val="24"/>
          <w:szCs w:val="24"/>
        </w:rPr>
        <w:t xml:space="preserve">об уничтожении или повреждении </w:t>
      </w:r>
      <w:r w:rsidRPr="00A435AC">
        <w:rPr>
          <w:rFonts w:ascii="Segoe UI" w:hAnsi="Segoe UI" w:cs="Segoe UI"/>
          <w:sz w:val="24"/>
          <w:szCs w:val="24"/>
        </w:rPr>
        <w:t>конкретного пункта ГГС.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 xml:space="preserve">Информация о повреждении или уничтожении Пунктов направляется юридическими лицами и индивидуальными предпринимателями в бумажном виде почтовым отправлением по адресу: г. Смоленск, ул. Полтавская, д. 8 либо в виде электронного документа на адрес электронной почты </w:t>
      </w:r>
      <w:hyperlink r:id="rId8" w:history="1">
        <w:r w:rsidRPr="00A435AC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67_upr@rosreestr.ru</w:t>
        </w:r>
      </w:hyperlink>
      <w:r w:rsidRPr="00A435AC">
        <w:rPr>
          <w:rFonts w:ascii="Segoe UI" w:hAnsi="Segoe UI" w:cs="Segoe UI"/>
          <w:sz w:val="24"/>
          <w:szCs w:val="24"/>
          <w:shd w:val="clear" w:color="auto" w:fill="FFFFFF"/>
        </w:rPr>
        <w:t xml:space="preserve"> или </w:t>
      </w:r>
      <w:hyperlink r:id="rId9" w:history="1">
        <w:r w:rsidRPr="00A435AC">
          <w:rPr>
            <w:rStyle w:val="a3"/>
            <w:rFonts w:ascii="Segoe UI" w:hAnsi="Segoe UI" w:cs="Segoe UI"/>
            <w:sz w:val="24"/>
            <w:szCs w:val="24"/>
          </w:rPr>
          <w:t>67_zemkontrol@rostelecom67.ru</w:t>
        </w:r>
      </w:hyperlink>
      <w:r w:rsidRPr="00A435AC">
        <w:rPr>
          <w:rFonts w:ascii="Segoe UI" w:hAnsi="Segoe UI" w:cs="Segoe UI"/>
          <w:sz w:val="24"/>
          <w:szCs w:val="24"/>
        </w:rPr>
        <w:t>.</w:t>
      </w:r>
    </w:p>
    <w:p w:rsidR="00A01BF0" w:rsidRPr="00A435AC" w:rsidRDefault="00A01BF0" w:rsidP="00A01BF0">
      <w:pPr>
        <w:autoSpaceDE w:val="0"/>
        <w:autoSpaceDN w:val="0"/>
        <w:adjustRightInd w:val="0"/>
        <w:contextualSpacing/>
        <w:rPr>
          <w:rFonts w:ascii="Segoe UI" w:hAnsi="Segoe UI" w:cs="Segoe UI"/>
          <w:b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t xml:space="preserve">Нарушение п. 4 Порядка юридическими лицами и индивидуальными предпринимателями является основанием возбуждения дела об административном правонарушении, административная ответственность за которое предусмотрена ст. </w:t>
      </w:r>
      <w:r w:rsidRPr="00A435AC">
        <w:rPr>
          <w:rFonts w:ascii="Segoe UI" w:hAnsi="Segoe UI" w:cs="Segoe UI"/>
          <w:sz w:val="24"/>
          <w:szCs w:val="24"/>
          <w:shd w:val="clear" w:color="auto" w:fill="FFFFFF"/>
        </w:rPr>
        <w:t>19.7 КоАП РФ.</w:t>
      </w:r>
    </w:p>
    <w:p w:rsidR="00A01BF0" w:rsidRPr="00A435AC" w:rsidRDefault="00A01BF0" w:rsidP="00A01BF0">
      <w:pPr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D5DCFD" wp14:editId="7B8BB6CA">
            <wp:simplePos x="0" y="0"/>
            <wp:positionH relativeFrom="column">
              <wp:posOffset>13970</wp:posOffset>
            </wp:positionH>
            <wp:positionV relativeFrom="paragraph">
              <wp:posOffset>174625</wp:posOffset>
            </wp:positionV>
            <wp:extent cx="2650490" cy="1490980"/>
            <wp:effectExtent l="0" t="0" r="0" b="0"/>
            <wp:wrapSquare wrapText="bothSides"/>
            <wp:docPr id="5" name="Рисунок 5" descr="http://shem.pnzreg.ru/upload/iblock/10a/10a576ef87a697900739818b2fb06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em.pnzreg.ru/upload/iblock/10a/10a576ef87a697900739818b2fb063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5AC">
        <w:rPr>
          <w:rFonts w:ascii="Segoe UI" w:hAnsi="Segoe UI" w:cs="Segoe UI"/>
          <w:sz w:val="24"/>
          <w:szCs w:val="24"/>
        </w:rPr>
        <w:t xml:space="preserve">Так, за 10 месяцев 2020 года должностными лицами отдела геодезии и картографии, землеустройства, мониторинга земель и кадастровой оценки недвижимости Управления, уполномоченными на осуществление федерального государственного надзора в области геодезии и картографии, в отношении юридических лиц и индивидуальных предпринимателей было составлено 28 протоколов об административных правонарушениях, административная ответственность за которые предусмотрена ст. </w:t>
      </w:r>
      <w:r w:rsidRPr="00A435AC">
        <w:rPr>
          <w:rFonts w:ascii="Segoe UI" w:hAnsi="Segoe UI" w:cs="Segoe UI"/>
          <w:sz w:val="24"/>
          <w:szCs w:val="24"/>
          <w:shd w:val="clear" w:color="auto" w:fill="FFFFFF"/>
        </w:rPr>
        <w:t>19.7 КоАП РФ.</w:t>
      </w:r>
    </w:p>
    <w:p w:rsidR="00A01BF0" w:rsidRPr="00A435AC" w:rsidRDefault="00A01BF0" w:rsidP="00A01BF0">
      <w:pPr>
        <w:tabs>
          <w:tab w:val="right" w:pos="3714"/>
        </w:tabs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noProof/>
          <w:sz w:val="24"/>
          <w:szCs w:val="24"/>
        </w:rPr>
        <w:t xml:space="preserve">За непредставление сведений (информации) статьей </w:t>
      </w:r>
      <w:r w:rsidRPr="00A435AC">
        <w:rPr>
          <w:rFonts w:ascii="Segoe UI" w:hAnsi="Segoe UI" w:cs="Segoe UI"/>
          <w:sz w:val="24"/>
          <w:szCs w:val="24"/>
          <w:shd w:val="clear" w:color="auto" w:fill="FFFFFF"/>
        </w:rPr>
        <w:t xml:space="preserve">19.7 КоАП РФ предусмотрена административная ответственность: </w:t>
      </w:r>
      <w:r w:rsidRPr="00A435AC">
        <w:rPr>
          <w:rFonts w:ascii="Segoe UI" w:hAnsi="Segoe UI" w:cs="Segoe UI"/>
          <w:sz w:val="24"/>
          <w:szCs w:val="24"/>
        </w:rPr>
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A01BF0" w:rsidRPr="00A435AC" w:rsidRDefault="00A01BF0" w:rsidP="00A01BF0">
      <w:pPr>
        <w:tabs>
          <w:tab w:val="right" w:pos="3714"/>
        </w:tabs>
        <w:contextualSpacing/>
        <w:rPr>
          <w:rFonts w:ascii="Segoe UI" w:hAnsi="Segoe UI" w:cs="Segoe UI"/>
          <w:sz w:val="24"/>
          <w:szCs w:val="24"/>
          <w:shd w:val="clear" w:color="auto" w:fill="FFFFFF"/>
        </w:rPr>
      </w:pPr>
      <w:r w:rsidRPr="00A435AC">
        <w:rPr>
          <w:rFonts w:ascii="Segoe UI" w:hAnsi="Segoe UI" w:cs="Segoe UI"/>
          <w:noProof/>
          <w:sz w:val="24"/>
          <w:szCs w:val="24"/>
        </w:rPr>
        <w:t xml:space="preserve">По результатам рассмотрения дел об административных правонарушениях, административная ответственность за которые предусмотрена ст. </w:t>
      </w:r>
      <w:r w:rsidRPr="00A435AC">
        <w:rPr>
          <w:rFonts w:ascii="Segoe UI" w:hAnsi="Segoe UI" w:cs="Segoe UI"/>
          <w:sz w:val="24"/>
          <w:szCs w:val="24"/>
          <w:shd w:val="clear" w:color="auto" w:fill="FFFFFF"/>
        </w:rPr>
        <w:t>19.7 КоАП РФ, мировыми судьями вынесены 11 предупреждений и 6 административных штрафов в размере 3000 рублей каждый.</w:t>
      </w:r>
    </w:p>
    <w:p w:rsidR="00A01BF0" w:rsidRPr="00A435AC" w:rsidRDefault="00A01BF0" w:rsidP="00A01BF0">
      <w:pPr>
        <w:contextualSpacing/>
        <w:rPr>
          <w:rFonts w:ascii="Segoe UI" w:hAnsi="Segoe UI" w:cs="Segoe UI"/>
          <w:sz w:val="24"/>
          <w:szCs w:val="24"/>
        </w:rPr>
      </w:pPr>
      <w:r w:rsidRPr="00A435AC">
        <w:rPr>
          <w:rFonts w:ascii="Segoe UI" w:hAnsi="Segoe UI" w:cs="Segoe UI"/>
          <w:sz w:val="24"/>
          <w:szCs w:val="24"/>
        </w:rPr>
        <w:lastRenderedPageBreak/>
        <w:t>Таким образом, во избежание наступления административной ответственности за непредставление сведений об уничтожении или повреждении Пунктов в Управление, юридические лица и индивидуальные предприниматели обязаны соблюдать п. 4 Порядка.</w:t>
      </w:r>
    </w:p>
    <w:p w:rsidR="0082041C" w:rsidRPr="00E84DE0" w:rsidRDefault="0082041C" w:rsidP="0082041C">
      <w:pPr>
        <w:ind w:firstLine="0"/>
        <w:jc w:val="left"/>
        <w:rPr>
          <w:rFonts w:ascii="Segoe UI" w:hAnsi="Segoe UI" w:cs="Segoe UI"/>
          <w:b/>
          <w:sz w:val="16"/>
          <w:szCs w:val="16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Default="0082041C" w:rsidP="0082041C">
      <w:pPr>
        <w:ind w:firstLine="0"/>
        <w:jc w:val="left"/>
        <w:rPr>
          <w:rFonts w:ascii="Segoe UI" w:hAnsi="Segoe UI" w:cs="Segoe UI"/>
          <w:b/>
          <w:sz w:val="20"/>
          <w:szCs w:val="20"/>
        </w:rPr>
      </w:pPr>
    </w:p>
    <w:p w:rsidR="0082041C" w:rsidRPr="00FD318A" w:rsidRDefault="0082041C" w:rsidP="0082041C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7DC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82041C" w:rsidRPr="00917DC2" w:rsidRDefault="0082041C" w:rsidP="0082041C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17DC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17DC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2041C" w:rsidRPr="00917DC2" w:rsidRDefault="0082041C" w:rsidP="0082041C">
      <w:pPr>
        <w:ind w:firstLine="0"/>
        <w:rPr>
          <w:rFonts w:ascii="Segoe UI" w:hAnsi="Segoe UI" w:cs="Segoe UI"/>
          <w:sz w:val="20"/>
          <w:szCs w:val="20"/>
          <w:lang w:val="en-US"/>
        </w:rPr>
      </w:pPr>
      <w:r w:rsidRPr="00917DC2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82041C" w:rsidRPr="00917DC2" w:rsidRDefault="0082041C" w:rsidP="0082041C">
      <w:pPr>
        <w:ind w:firstLine="0"/>
        <w:rPr>
          <w:rFonts w:ascii="Segoe UI" w:hAnsi="Segoe UI" w:cs="Segoe UI"/>
          <w:sz w:val="20"/>
          <w:szCs w:val="20"/>
          <w:lang w:val="en-US"/>
        </w:rPr>
      </w:pPr>
      <w:hyperlink r:id="rId11" w:history="1">
        <w:r w:rsidRPr="00917DC2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82041C" w:rsidRPr="00917DC2" w:rsidRDefault="0082041C" w:rsidP="0082041C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  <w:bookmarkStart w:id="0" w:name="_GoBack"/>
      <w:bookmarkEnd w:id="0"/>
    </w:p>
    <w:sectPr w:rsidR="0082041C" w:rsidRPr="009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2D"/>
    <w:rsid w:val="00010AB0"/>
    <w:rsid w:val="00497D45"/>
    <w:rsid w:val="00596F93"/>
    <w:rsid w:val="0082041C"/>
    <w:rsid w:val="0084542B"/>
    <w:rsid w:val="00993C3F"/>
    <w:rsid w:val="009B6A44"/>
    <w:rsid w:val="00A01BF0"/>
    <w:rsid w:val="00A236E3"/>
    <w:rsid w:val="00A435AC"/>
    <w:rsid w:val="00B8672D"/>
    <w:rsid w:val="00D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5DB"/>
  <w15:chartTrackingRefBased/>
  <w15:docId w15:val="{F15CAE6D-2466-4BD4-8E41-67600AE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A0A6D0B0CD65E811EB8D35D7DEF95C1D3B930DC976239C136CC501CI96EG" TargetMode="External"/><Relationship Id="rId11" Type="http://schemas.openxmlformats.org/officeDocument/2006/relationships/hyperlink" Target="http://www.rosreestr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67_zemkontrol@rostelecom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11</cp:revision>
  <dcterms:created xsi:type="dcterms:W3CDTF">2020-11-24T10:52:00Z</dcterms:created>
  <dcterms:modified xsi:type="dcterms:W3CDTF">2020-11-24T11:39:00Z</dcterms:modified>
</cp:coreProperties>
</file>