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34558E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FAD5" wp14:editId="7C54BC4E">
                <wp:simplePos x="0" y="0"/>
                <wp:positionH relativeFrom="column">
                  <wp:posOffset>929640</wp:posOffset>
                </wp:positionH>
                <wp:positionV relativeFrom="paragraph">
                  <wp:posOffset>461010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8E" w:rsidRDefault="0034558E" w:rsidP="0034558E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4558E" w:rsidRDefault="0034558E" w:rsidP="0034558E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558E" w:rsidRPr="00DD5228" w:rsidRDefault="0034558E" w:rsidP="0034558E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FAD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3.2pt;margin-top:36.3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WNh4Bt8AAAAKAQAADwAA&#10;AAAAAAAAAAAAAACUBAAAZHJzL2Rvd25yZXYueG1sUEsFBgAAAAAEAAQA8wAAAKAFAAAAAA==&#10;" strokecolor="white">
                <v:textbox>
                  <w:txbxContent>
                    <w:p w:rsidR="0034558E" w:rsidRDefault="0034558E" w:rsidP="0034558E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4558E" w:rsidRDefault="0034558E" w:rsidP="0034558E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558E" w:rsidRPr="00DD5228" w:rsidRDefault="0034558E" w:rsidP="0034558E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3EFFAB9A" wp14:editId="7166F8B3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8E" w:rsidRPr="002372F7" w:rsidRDefault="002372F7" w:rsidP="002372F7">
      <w:pPr>
        <w:jc w:val="center"/>
        <w:rPr>
          <w:b/>
          <w:sz w:val="32"/>
          <w:szCs w:val="32"/>
        </w:rPr>
      </w:pPr>
      <w:r w:rsidRPr="002372F7">
        <w:rPr>
          <w:rFonts w:ascii="Segoe UI" w:hAnsi="Segoe UI" w:cs="Segoe UI"/>
          <w:b/>
          <w:sz w:val="32"/>
          <w:szCs w:val="32"/>
        </w:rPr>
        <w:t>Для кадастровых инженеров установлены н</w:t>
      </w:r>
      <w:r w:rsidR="001713F4" w:rsidRPr="002372F7">
        <w:rPr>
          <w:rFonts w:ascii="Segoe UI" w:hAnsi="Segoe UI" w:cs="Segoe UI"/>
          <w:b/>
          <w:sz w:val="32"/>
          <w:szCs w:val="32"/>
        </w:rPr>
        <w:t>овы</w:t>
      </w:r>
      <w:r w:rsidRPr="002372F7">
        <w:rPr>
          <w:rFonts w:ascii="Segoe UI" w:hAnsi="Segoe UI" w:cs="Segoe UI"/>
          <w:b/>
          <w:sz w:val="32"/>
          <w:szCs w:val="32"/>
        </w:rPr>
        <w:t>е</w:t>
      </w:r>
      <w:r w:rsidR="001713F4" w:rsidRPr="002372F7">
        <w:rPr>
          <w:rFonts w:ascii="Segoe UI" w:hAnsi="Segoe UI" w:cs="Segoe UI"/>
          <w:b/>
          <w:sz w:val="32"/>
          <w:szCs w:val="32"/>
        </w:rPr>
        <w:t xml:space="preserve"> требования</w:t>
      </w:r>
      <w:r w:rsidR="001713F4" w:rsidRPr="002372F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к точности и методам определения координат</w:t>
      </w:r>
    </w:p>
    <w:p w:rsidR="00215066" w:rsidRPr="00C26400" w:rsidRDefault="0034558E" w:rsidP="00C264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26400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2640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6400">
        <w:rPr>
          <w:rFonts w:ascii="Segoe UI" w:hAnsi="Segoe UI" w:cs="Segoe UI"/>
          <w:sz w:val="24"/>
          <w:szCs w:val="24"/>
        </w:rPr>
        <w:t xml:space="preserve"> по Смоленской области обращает внимание кадастровых инженеров</w:t>
      </w:r>
      <w:r w:rsidR="00C26400" w:rsidRPr="00C26400">
        <w:rPr>
          <w:rFonts w:ascii="Segoe UI" w:hAnsi="Segoe UI" w:cs="Segoe UI"/>
          <w:sz w:val="24"/>
          <w:szCs w:val="24"/>
        </w:rPr>
        <w:t xml:space="preserve"> и всех заинтересованных лиц</w:t>
      </w:r>
      <w:r w:rsidR="00215066" w:rsidRPr="00C26400">
        <w:rPr>
          <w:rFonts w:ascii="Segoe UI" w:hAnsi="Segoe UI" w:cs="Segoe UI"/>
          <w:sz w:val="24"/>
          <w:szCs w:val="24"/>
        </w:rPr>
        <w:t xml:space="preserve">, что с 1 января 2021 года начал действовать новый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геодезии и картографии, привлечения к административной ответственности в результате осуществления такого надзора, утвержденный Приказом </w:t>
      </w:r>
      <w:proofErr w:type="spellStart"/>
      <w:r w:rsidR="00215066" w:rsidRPr="00C2640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5066" w:rsidRPr="00C26400">
        <w:rPr>
          <w:rFonts w:ascii="Segoe UI" w:hAnsi="Segoe UI" w:cs="Segoe UI"/>
          <w:sz w:val="24"/>
          <w:szCs w:val="24"/>
        </w:rPr>
        <w:t xml:space="preserve"> </w:t>
      </w:r>
      <w:r w:rsidR="00C26400">
        <w:rPr>
          <w:rFonts w:ascii="Segoe UI" w:hAnsi="Segoe UI" w:cs="Segoe UI"/>
          <w:sz w:val="24"/>
          <w:szCs w:val="24"/>
        </w:rPr>
        <w:t>от 31.12.2020 № П/0528.</w:t>
      </w:r>
    </w:p>
    <w:p w:rsidR="00C26400" w:rsidRDefault="00C26400" w:rsidP="00C264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6DC8" w:rsidRPr="00C26400" w:rsidRDefault="003D6DC8" w:rsidP="00C264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26400">
        <w:rPr>
          <w:rFonts w:ascii="Segoe UI" w:hAnsi="Segoe UI" w:cs="Segoe UI"/>
          <w:sz w:val="24"/>
          <w:szCs w:val="24"/>
        </w:rPr>
        <w:t xml:space="preserve">Новыми </w:t>
      </w:r>
      <w:r w:rsidR="00C26400" w:rsidRPr="00C26400">
        <w:rPr>
          <w:rFonts w:ascii="Segoe UI" w:hAnsi="Segoe UI" w:cs="Segoe UI"/>
          <w:sz w:val="24"/>
          <w:szCs w:val="24"/>
        </w:rPr>
        <w:t>т</w:t>
      </w:r>
      <w:r w:rsidRPr="00C26400">
        <w:rPr>
          <w:rFonts w:ascii="Segoe UI" w:hAnsi="Segoe UI" w:cs="Segoe UI"/>
          <w:sz w:val="24"/>
          <w:szCs w:val="24"/>
        </w:rPr>
        <w:t xml:space="preserve">ребованиями к точности и методам теперь законодательно закреплен комбинированный метод (сочетание геодезического метода и метода спутниковых геодезических измерений (определений), определена формула вычисления средней </w:t>
      </w:r>
      <w:proofErr w:type="spellStart"/>
      <w:r w:rsidRPr="00C26400">
        <w:rPr>
          <w:rFonts w:ascii="Segoe UI" w:hAnsi="Segoe UI" w:cs="Segoe UI"/>
          <w:sz w:val="24"/>
          <w:szCs w:val="24"/>
        </w:rPr>
        <w:t>квадратической</w:t>
      </w:r>
      <w:proofErr w:type="spellEnd"/>
      <w:r w:rsidRPr="00C26400">
        <w:rPr>
          <w:rFonts w:ascii="Segoe UI" w:hAnsi="Segoe UI" w:cs="Segoe UI"/>
          <w:sz w:val="24"/>
          <w:szCs w:val="24"/>
        </w:rPr>
        <w:t xml:space="preserve"> погрешности при его применении; также определены формулы вычисления средней </w:t>
      </w:r>
      <w:proofErr w:type="spellStart"/>
      <w:r w:rsidRPr="00C26400">
        <w:rPr>
          <w:rFonts w:ascii="Segoe UI" w:hAnsi="Segoe UI" w:cs="Segoe UI"/>
          <w:sz w:val="24"/>
          <w:szCs w:val="24"/>
        </w:rPr>
        <w:t>квадратической</w:t>
      </w:r>
      <w:proofErr w:type="spellEnd"/>
      <w:r w:rsidRPr="00C26400">
        <w:rPr>
          <w:rFonts w:ascii="Segoe UI" w:hAnsi="Segoe UI" w:cs="Segoe UI"/>
          <w:sz w:val="24"/>
          <w:szCs w:val="24"/>
        </w:rPr>
        <w:t xml:space="preserve"> погрешности определения координат характерной точки методом прямой угловой засечки, формула вычисления средней </w:t>
      </w:r>
      <w:proofErr w:type="spellStart"/>
      <w:r w:rsidRPr="00C26400">
        <w:rPr>
          <w:rFonts w:ascii="Segoe UI" w:hAnsi="Segoe UI" w:cs="Segoe UI"/>
          <w:sz w:val="24"/>
          <w:szCs w:val="24"/>
        </w:rPr>
        <w:t>квадратической</w:t>
      </w:r>
      <w:proofErr w:type="spellEnd"/>
      <w:r w:rsidRPr="00C26400">
        <w:rPr>
          <w:rFonts w:ascii="Segoe UI" w:hAnsi="Segoe UI" w:cs="Segoe UI"/>
          <w:sz w:val="24"/>
          <w:szCs w:val="24"/>
        </w:rPr>
        <w:t xml:space="preserve"> погрешности определения координат характерной точки методом обратной угловой засечки, формула вычисления средней </w:t>
      </w:r>
      <w:proofErr w:type="spellStart"/>
      <w:r w:rsidRPr="00C26400">
        <w:rPr>
          <w:rFonts w:ascii="Segoe UI" w:hAnsi="Segoe UI" w:cs="Segoe UI"/>
          <w:sz w:val="24"/>
          <w:szCs w:val="24"/>
        </w:rPr>
        <w:t>квадратической</w:t>
      </w:r>
      <w:proofErr w:type="spellEnd"/>
      <w:r w:rsidRPr="00C26400">
        <w:rPr>
          <w:rFonts w:ascii="Segoe UI" w:hAnsi="Segoe UI" w:cs="Segoe UI"/>
          <w:sz w:val="24"/>
          <w:szCs w:val="24"/>
        </w:rPr>
        <w:t xml:space="preserve"> погрешности определения координат характерной точки методом полярной засечки; установлен предельный размер проекции пикселя при определении характерных точек фотограмметрическим методом; уточнен порядок вычисления средней </w:t>
      </w:r>
      <w:proofErr w:type="spellStart"/>
      <w:r w:rsidRPr="00C26400">
        <w:rPr>
          <w:rFonts w:ascii="Segoe UI" w:hAnsi="Segoe UI" w:cs="Segoe UI"/>
          <w:sz w:val="24"/>
          <w:szCs w:val="24"/>
        </w:rPr>
        <w:t>квадратической</w:t>
      </w:r>
      <w:proofErr w:type="spellEnd"/>
      <w:r w:rsidRPr="00C26400">
        <w:rPr>
          <w:rFonts w:ascii="Segoe UI" w:hAnsi="Segoe UI" w:cs="Segoe UI"/>
          <w:sz w:val="24"/>
          <w:szCs w:val="24"/>
        </w:rPr>
        <w:t xml:space="preserve"> погрешности при определении характерных точек картометрическим методом.</w:t>
      </w:r>
    </w:p>
    <w:p w:rsidR="00C26400" w:rsidRDefault="00C26400" w:rsidP="00C264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6DC8" w:rsidRPr="00C26400" w:rsidRDefault="00670AB7" w:rsidP="00C264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6400">
        <w:rPr>
          <w:rFonts w:ascii="Segoe UI" w:hAnsi="Segoe UI" w:cs="Segoe UI"/>
          <w:color w:val="000000" w:themeColor="text1"/>
          <w:sz w:val="24"/>
          <w:szCs w:val="24"/>
        </w:rPr>
        <w:t>Для наглядности изменений</w:t>
      </w:r>
      <w:r w:rsidR="00C26400" w:rsidRPr="00C2640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2640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26400" w:rsidRPr="00C26400">
        <w:rPr>
          <w:rFonts w:ascii="Segoe UI" w:hAnsi="Segoe UI" w:cs="Segoe UI"/>
          <w:color w:val="000000" w:themeColor="text1"/>
          <w:sz w:val="24"/>
          <w:szCs w:val="24"/>
        </w:rPr>
        <w:t>прилагаем ниже</w:t>
      </w:r>
      <w:r w:rsidR="003D6DC8" w:rsidRPr="00C26400">
        <w:rPr>
          <w:rFonts w:ascii="Segoe UI" w:hAnsi="Segoe UI" w:cs="Segoe UI"/>
          <w:color w:val="000000" w:themeColor="text1"/>
          <w:sz w:val="24"/>
          <w:szCs w:val="24"/>
        </w:rPr>
        <w:t xml:space="preserve"> таблицу </w:t>
      </w:r>
      <w:r w:rsidRPr="00C26400">
        <w:rPr>
          <w:rFonts w:ascii="Segoe UI" w:hAnsi="Segoe UI" w:cs="Segoe UI"/>
          <w:color w:val="000000" w:themeColor="text1"/>
          <w:sz w:val="24"/>
          <w:szCs w:val="24"/>
        </w:rPr>
        <w:t xml:space="preserve">с </w:t>
      </w:r>
      <w:r w:rsidR="00C26400" w:rsidRPr="00C26400">
        <w:rPr>
          <w:rFonts w:ascii="Segoe UI" w:hAnsi="Segoe UI" w:cs="Segoe UI"/>
          <w:color w:val="000000" w:themeColor="text1"/>
          <w:sz w:val="24"/>
          <w:szCs w:val="24"/>
        </w:rPr>
        <w:t xml:space="preserve">актуальными и утратившими силу </w:t>
      </w:r>
      <w:r w:rsidRPr="00C26400">
        <w:rPr>
          <w:rFonts w:ascii="Segoe UI" w:hAnsi="Segoe UI" w:cs="Segoe UI"/>
          <w:color w:val="000000" w:themeColor="text1"/>
          <w:sz w:val="24"/>
          <w:szCs w:val="24"/>
        </w:rPr>
        <w:t>требованиями к точности и методам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</w:t>
      </w:r>
      <w:r w:rsidR="00C26400" w:rsidRPr="00C26400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3D6DC8" w:rsidRPr="00C26400" w:rsidRDefault="003D6DC8" w:rsidP="003D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1"/>
        <w:gridCol w:w="3517"/>
      </w:tblGrid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Минэкономразвития России от 01.03.2016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№ 90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(до 01.01.2021)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Росреестра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от 23.10.2020 № П/0393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(с 01.01.2021)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Методы определения координат характерных точек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отсутствует комбинированный метод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комбинированный метод (сочетание геодезического метода и метода спутниковых геодезических измерений (определений)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комбинированного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формула 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характерных точек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t xml:space="preserve"> 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drawing>
                <wp:inline distT="0" distB="0" distL="0" distR="0" wp14:anchorId="5BCE98A9" wp14:editId="1FC36BD4">
                  <wp:extent cx="1200150" cy="3293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40" cy="33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геодезического метода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270C7517" wp14:editId="23F4BB5D">
                  <wp:extent cx="1133475" cy="31950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0" cy="3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7EC4A79D" wp14:editId="595F2127">
                  <wp:extent cx="1266825" cy="357092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, а также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по формулам: </w:t>
            </w:r>
            <w:r w:rsidRPr="00C26400">
              <w:rPr>
                <w:rFonts w:ascii="Segoe UI" w:hAnsi="Segoe UI" w:cs="Segoe UI"/>
                <w:noProof/>
                <w:position w:val="-35"/>
                <w:sz w:val="24"/>
                <w:szCs w:val="24"/>
                <w:lang w:eastAsia="ru-RU"/>
              </w:rPr>
              <w:drawing>
                <wp:inline distT="0" distB="0" distL="0" distR="0" wp14:anchorId="3187BD65" wp14:editId="3F799891">
                  <wp:extent cx="1419225" cy="49331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(метод) прямой угловой засечки; </w:t>
            </w:r>
            <w:r w:rsidRPr="00C26400">
              <w:rPr>
                <w:rFonts w:ascii="Segoe UI" w:hAnsi="Segoe UI" w:cs="Segoe UI"/>
                <w:noProof/>
                <w:position w:val="-42"/>
                <w:sz w:val="24"/>
                <w:szCs w:val="24"/>
                <w:lang w:eastAsia="ru-RU"/>
              </w:rPr>
              <w:drawing>
                <wp:inline distT="0" distB="0" distL="0" distR="0" wp14:anchorId="36DEDA74" wp14:editId="1E6F5D93">
                  <wp:extent cx="20859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(метод обратной угловой засечки); </w:t>
            </w:r>
            <w:r w:rsidRPr="00C26400">
              <w:rPr>
                <w:rFonts w:ascii="Segoe UI" w:hAnsi="Segoe UI" w:cs="Segoe UI"/>
                <w:noProof/>
                <w:position w:val="-39"/>
                <w:sz w:val="24"/>
                <w:szCs w:val="24"/>
                <w:lang w:eastAsia="ru-RU"/>
              </w:rPr>
              <w:drawing>
                <wp:inline distT="0" distB="0" distL="0" distR="0" wp14:anchorId="3165842E" wp14:editId="1E8C9FE5">
                  <wp:extent cx="1152525" cy="432959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(метод полярной засечки)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фотограмметрического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величина среднеквадратической погрешности местоположения характерных точек принимается равной 0,0005 метра в масштабе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аэроснимка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космоснимка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), приведенного к масштабу соответствующей картографической основы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необходимо использовать материалы аэрофотосъемки и космической съемки, размер проекции пикселя на местности которых не превышает значений, установленных в </w:t>
            </w:r>
            <w:hyperlink r:id="rId10" w:history="1">
              <w:r w:rsidRPr="00C26400">
                <w:rPr>
                  <w:rFonts w:ascii="Segoe UI" w:hAnsi="Segoe UI" w:cs="Segoe UI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к настоящим требованиям для соответствующей категории земель и разрешенного использования земельных участков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картометрического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При определении местоположения характерных точек, изображенных на карте (плане),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карты (плана)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При определении координат характерных точек: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аналоговом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0,0012 метра в масштабе соответствующей карты (плана),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созданных в цифровом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0,0007 метра в масштабе соответствующей карты (плана);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цифровом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соответствующей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Допустимые расхождения первоначальных и последующих (контрольных) определений координат характерных точек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Установлено, что 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      </w:r>
            <w:proofErr w:type="spellStart"/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погрешности, указанной в </w:t>
            </w:r>
            <w:hyperlink r:id="rId11" w:history="1">
              <w:r w:rsidRPr="00C26400"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к настоящим требованиям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:rsidR="003D6DC8" w:rsidRPr="00C26400" w:rsidRDefault="003D6DC8" w:rsidP="003D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1B54" w:rsidRPr="00141B54" w:rsidRDefault="009977CB" w:rsidP="00141B54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hyperlink r:id="rId12" w:history="1">
        <w:r w:rsidR="00141B54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13" w:history="1">
        <w:r w:rsidR="00141B54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14" w:history="1">
        <w:r w:rsidR="00141B54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141B54" w:rsidRPr="00141B54">
        <w:rPr>
          <w:rFonts w:ascii="Segoe UI" w:hAnsi="Segoe UI" w:cs="Segoe UI"/>
          <w:sz w:val="24"/>
          <w:szCs w:val="24"/>
        </w:rPr>
        <w:t>КадастровыеИнженеры#</w:t>
      </w:r>
      <w:r w:rsidR="00141B54">
        <w:rPr>
          <w:rFonts w:ascii="Segoe UI" w:hAnsi="Segoe UI" w:cs="Segoe UI"/>
          <w:sz w:val="24"/>
          <w:szCs w:val="24"/>
        </w:rPr>
        <w:t>Н</w:t>
      </w:r>
      <w:r w:rsidR="00141B54" w:rsidRPr="00141B54">
        <w:rPr>
          <w:rFonts w:ascii="Segoe UI" w:hAnsi="Segoe UI" w:cs="Segoe UI"/>
          <w:sz w:val="24"/>
          <w:szCs w:val="24"/>
        </w:rPr>
        <w:t>овые</w:t>
      </w:r>
      <w:r w:rsidR="00141B54">
        <w:rPr>
          <w:rFonts w:ascii="Segoe UI" w:hAnsi="Segoe UI" w:cs="Segoe UI"/>
          <w:sz w:val="24"/>
          <w:szCs w:val="24"/>
        </w:rPr>
        <w:t>Т</w:t>
      </w:r>
      <w:r w:rsidR="00141B54" w:rsidRPr="00141B54">
        <w:rPr>
          <w:rFonts w:ascii="Segoe UI" w:hAnsi="Segoe UI" w:cs="Segoe UI"/>
          <w:sz w:val="24"/>
          <w:szCs w:val="24"/>
        </w:rPr>
        <w:t>ребования</w:t>
      </w:r>
      <w:r w:rsidR="00141B54">
        <w:rPr>
          <w:rFonts w:ascii="Segoe UI" w:hAnsi="Segoe UI" w:cs="Segoe UI"/>
          <w:color w:val="000000" w:themeColor="text1"/>
          <w:sz w:val="24"/>
          <w:szCs w:val="24"/>
        </w:rPr>
        <w:t>КТочностиИМетодамОпределенияК</w:t>
      </w:r>
      <w:r w:rsidR="00141B54" w:rsidRPr="00141B54">
        <w:rPr>
          <w:rFonts w:ascii="Segoe UI" w:hAnsi="Segoe UI" w:cs="Segoe UI"/>
          <w:color w:val="000000" w:themeColor="text1"/>
          <w:sz w:val="24"/>
          <w:szCs w:val="24"/>
        </w:rPr>
        <w:t>оординат</w:t>
      </w:r>
    </w:p>
    <w:p w:rsidR="00141B54" w:rsidRDefault="00141B54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41B54" w:rsidRPr="00D40362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41B54" w:rsidRPr="00D40362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41B54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141B54" w:rsidRPr="000A757B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141B54" w:rsidRPr="000A757B" w:rsidRDefault="00141B54" w:rsidP="00141B54">
      <w:pPr>
        <w:spacing w:after="0" w:line="240" w:lineRule="auto"/>
        <w:jc w:val="both"/>
        <w:rPr>
          <w:rStyle w:val="a4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15" w:history="1">
        <w:r w:rsidRPr="000A757B">
          <w:rPr>
            <w:rStyle w:val="a4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4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3D6DC8" w:rsidRPr="000A6F51" w:rsidRDefault="00141B54" w:rsidP="000A6F5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16" w:history="1"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4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/</w:t>
        </w:r>
      </w:hyperlink>
    </w:p>
    <w:sectPr w:rsidR="003D6DC8" w:rsidRPr="000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4"/>
    <w:rsid w:val="000A6F51"/>
    <w:rsid w:val="00141B54"/>
    <w:rsid w:val="001713F4"/>
    <w:rsid w:val="00215066"/>
    <w:rsid w:val="002372F7"/>
    <w:rsid w:val="00273E23"/>
    <w:rsid w:val="0034558E"/>
    <w:rsid w:val="003D6DC8"/>
    <w:rsid w:val="00501FD8"/>
    <w:rsid w:val="00670AB7"/>
    <w:rsid w:val="00785AFA"/>
    <w:rsid w:val="00971F12"/>
    <w:rsid w:val="009977CB"/>
    <w:rsid w:val="00B405AC"/>
    <w:rsid w:val="00C26400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C840"/>
  <w15:chartTrackingRefBased/>
  <w15:docId w15:val="{74945BE3-F020-49A9-BBD4-EDD5290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s://vk.com/feed?section=search&amp;q=%23%D0%A0%D0%BE%D1%81%D1%80%D0%B5%D0%B5%D1%81%D1%82%D1%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reestr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8CAF81F6459C117768957CADFBF70BCB3B8BF95D745219677BA7AA5A4FB5AAA44D34AC0A00AE028A149D6DCF75356BDDA1B40163F42E61DBj2HCL" TargetMode="External"/><Relationship Id="rId5" Type="http://schemas.openxmlformats.org/officeDocument/2006/relationships/image" Target="media/image2.wmf"/><Relationship Id="rId15" Type="http://schemas.openxmlformats.org/officeDocument/2006/relationships/hyperlink" Target="mailto:67_upr@rosreestr.ru" TargetMode="External"/><Relationship Id="rId10" Type="http://schemas.openxmlformats.org/officeDocument/2006/relationships/hyperlink" Target="consultantplus://offline/ref=0C61C35B63658A6ECC3C1B965E38A924934E020BF3835FA8B652A077F7594913DD31C888D99EA9FBF53AEC2354A59CE4D407D99E8B4F1C4548d2J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14</cp:revision>
  <cp:lastPrinted>2021-06-08T09:28:00Z</cp:lastPrinted>
  <dcterms:created xsi:type="dcterms:W3CDTF">2021-06-08T06:55:00Z</dcterms:created>
  <dcterms:modified xsi:type="dcterms:W3CDTF">2021-06-21T07:31:00Z</dcterms:modified>
</cp:coreProperties>
</file>